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EA85" w14:textId="77777777" w:rsidR="00FA54B8" w:rsidRPr="00FA54B8" w:rsidRDefault="00FA54B8" w:rsidP="00FA54B8">
      <w:pPr>
        <w:widowControl/>
        <w:autoSpaceDE/>
        <w:autoSpaceDN/>
        <w:adjustRightInd/>
        <w:jc w:val="center"/>
        <w:rPr>
          <w:rFonts w:eastAsia="Calibri"/>
          <w:bCs/>
          <w:smallCaps/>
          <w:sz w:val="24"/>
        </w:rPr>
      </w:pPr>
      <w:bookmarkStart w:id="0" w:name="_GoBack"/>
      <w:bookmarkEnd w:id="0"/>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t>(</w:t>
      </w:r>
      <w:r w:rsidRPr="00FA54B8">
        <w:rPr>
          <w:rFonts w:eastAsia="Calibri"/>
          <w:bCs/>
          <w:smallCaps/>
          <w:sz w:val="24"/>
          <w:highlight w:val="yellow"/>
        </w:rPr>
        <w:t>#</w:t>
      </w:r>
      <w:r w:rsidRPr="00FA54B8">
        <w:rPr>
          <w:rFonts w:eastAsia="Calibri"/>
          <w:bCs/>
          <w:smallCaps/>
          <w:sz w:val="24"/>
        </w:rPr>
        <w:t>)</w:t>
      </w:r>
    </w:p>
    <w:p w14:paraId="3150F338" w14:textId="77777777" w:rsidR="00FA54B8" w:rsidRPr="00FA54B8" w:rsidRDefault="00FA54B8" w:rsidP="00FA54B8">
      <w:pPr>
        <w:widowControl/>
        <w:autoSpaceDE/>
        <w:autoSpaceDN/>
        <w:adjustRightInd/>
        <w:jc w:val="center"/>
        <w:rPr>
          <w:rFonts w:eastAsia="Calibri"/>
          <w:bCs/>
          <w:smallCaps/>
          <w:sz w:val="24"/>
        </w:rPr>
      </w:pPr>
      <w:r w:rsidRPr="00FA54B8">
        <w:rPr>
          <w:rFonts w:eastAsia="Calibri"/>
          <w:bCs/>
          <w:smallCaps/>
          <w:sz w:val="24"/>
        </w:rPr>
        <w:t xml:space="preserve">In The </w:t>
      </w:r>
      <w:r w:rsidRPr="00FA54B8">
        <w:rPr>
          <w:rFonts w:eastAsia="Calibri"/>
          <w:bCs/>
          <w:smallCaps/>
          <w:sz w:val="24"/>
          <w:highlight w:val="yellow"/>
        </w:rPr>
        <w:t>XXX</w:t>
      </w:r>
      <w:r w:rsidRPr="00FA54B8">
        <w:rPr>
          <w:rFonts w:eastAsia="Calibri"/>
          <w:bCs/>
          <w:smallCaps/>
          <w:sz w:val="24"/>
        </w:rPr>
        <w:t xml:space="preserve"> District Court</w:t>
      </w:r>
    </w:p>
    <w:p w14:paraId="098F6B69" w14:textId="77777777" w:rsidR="00FA54B8" w:rsidRPr="00FA54B8" w:rsidRDefault="00FA54B8" w:rsidP="00FA54B8">
      <w:pPr>
        <w:widowControl/>
        <w:autoSpaceDE/>
        <w:autoSpaceDN/>
        <w:adjustRightInd/>
        <w:jc w:val="center"/>
        <w:rPr>
          <w:rFonts w:eastAsia="Calibri"/>
          <w:smallCaps/>
          <w:sz w:val="24"/>
        </w:rPr>
      </w:pPr>
      <w:r w:rsidRPr="00FA54B8">
        <w:rPr>
          <w:rFonts w:eastAsia="Calibri"/>
          <w:bCs/>
          <w:smallCaps/>
          <w:sz w:val="24"/>
        </w:rPr>
        <w:t xml:space="preserve">Parish Of </w:t>
      </w:r>
      <w:r w:rsidRPr="00FA54B8">
        <w:rPr>
          <w:rFonts w:eastAsia="Calibri"/>
          <w:bCs/>
          <w:smallCaps/>
          <w:sz w:val="24"/>
          <w:highlight w:val="yellow"/>
        </w:rPr>
        <w:t>XXX</w:t>
      </w:r>
      <w:r w:rsidRPr="00FA54B8">
        <w:rPr>
          <w:rFonts w:eastAsia="Calibri"/>
          <w:bCs/>
          <w:smallCaps/>
          <w:sz w:val="24"/>
        </w:rPr>
        <w:t>, State Of Louisiana</w:t>
      </w:r>
    </w:p>
    <w:p w14:paraId="5E185A3C" w14:textId="77777777" w:rsidR="00FA54B8" w:rsidRPr="00FA54B8" w:rsidRDefault="00FA54B8" w:rsidP="00FA54B8">
      <w:pPr>
        <w:widowControl/>
        <w:autoSpaceDE/>
        <w:autoSpaceDN/>
        <w:adjustRightInd/>
        <w:jc w:val="center"/>
        <w:rPr>
          <w:rFonts w:eastAsia="Calibri"/>
          <w:sz w:val="24"/>
        </w:rPr>
      </w:pPr>
    </w:p>
    <w:tbl>
      <w:tblPr>
        <w:tblW w:w="0" w:type="auto"/>
        <w:tblLayout w:type="fixed"/>
        <w:tblCellMar>
          <w:left w:w="0" w:type="dxa"/>
          <w:right w:w="0" w:type="dxa"/>
        </w:tblCellMar>
        <w:tblLook w:val="0000" w:firstRow="0" w:lastRow="0" w:firstColumn="0" w:lastColumn="0" w:noHBand="0" w:noVBand="0"/>
      </w:tblPr>
      <w:tblGrid>
        <w:gridCol w:w="4230"/>
        <w:gridCol w:w="540"/>
        <w:gridCol w:w="4590"/>
      </w:tblGrid>
      <w:tr w:rsidR="00FA54B8" w:rsidRPr="00FA54B8" w14:paraId="7B8ADE47" w14:textId="77777777" w:rsidTr="00E22D1C">
        <w:trPr>
          <w:cantSplit/>
        </w:trPr>
        <w:tc>
          <w:tcPr>
            <w:tcW w:w="4230" w:type="dxa"/>
            <w:tcBorders>
              <w:top w:val="single" w:sz="6" w:space="0" w:color="000000"/>
              <w:left w:val="nil"/>
              <w:bottom w:val="single" w:sz="4" w:space="0" w:color="auto"/>
              <w:right w:val="single" w:sz="4" w:space="0" w:color="auto"/>
            </w:tcBorders>
          </w:tcPr>
          <w:p w14:paraId="674A8763" w14:textId="77777777" w:rsidR="00FA54B8" w:rsidRPr="00FA54B8" w:rsidRDefault="00FA54B8" w:rsidP="00FA54B8">
            <w:pPr>
              <w:widowControl/>
              <w:autoSpaceDE/>
              <w:autoSpaceDN/>
              <w:adjustRightInd/>
              <w:rPr>
                <w:rFonts w:eastAsia="Calibri"/>
                <w:sz w:val="24"/>
              </w:rPr>
            </w:pPr>
          </w:p>
          <w:p w14:paraId="3138C7C5" w14:textId="77777777" w:rsidR="00FA54B8" w:rsidRPr="00FA54B8" w:rsidRDefault="00FA54B8" w:rsidP="00FA54B8">
            <w:pPr>
              <w:widowControl/>
              <w:autoSpaceDE/>
              <w:autoSpaceDN/>
              <w:adjustRightInd/>
              <w:rPr>
                <w:rFonts w:eastAsia="Calibri"/>
                <w:sz w:val="24"/>
              </w:rPr>
            </w:pPr>
            <w:r w:rsidRPr="00FA54B8">
              <w:rPr>
                <w:rFonts w:eastAsia="Calibri"/>
                <w:sz w:val="24"/>
              </w:rPr>
              <w:t>STATE OF LOUISIANA,</w:t>
            </w:r>
          </w:p>
          <w:p w14:paraId="6A548C22" w14:textId="77777777" w:rsidR="00FA54B8" w:rsidRPr="00FA54B8" w:rsidRDefault="00FA54B8" w:rsidP="00FA54B8">
            <w:pPr>
              <w:widowControl/>
              <w:autoSpaceDE/>
              <w:autoSpaceDN/>
              <w:adjustRightInd/>
              <w:rPr>
                <w:rFonts w:eastAsia="Calibri"/>
                <w:sz w:val="24"/>
              </w:rPr>
            </w:pPr>
            <w:r w:rsidRPr="00FA54B8">
              <w:rPr>
                <w:rFonts w:eastAsia="Calibri"/>
                <w:sz w:val="24"/>
              </w:rPr>
              <w:tab/>
            </w:r>
            <w:r w:rsidRPr="00FA54B8">
              <w:rPr>
                <w:rFonts w:eastAsia="Calibri"/>
                <w:sz w:val="24"/>
              </w:rPr>
              <w:tab/>
            </w:r>
            <w:r w:rsidRPr="00FA54B8">
              <w:rPr>
                <w:rFonts w:eastAsia="Calibri"/>
                <w:sz w:val="24"/>
              </w:rPr>
              <w:tab/>
            </w:r>
            <w:r w:rsidRPr="00FA54B8">
              <w:rPr>
                <w:rFonts w:eastAsia="Calibri"/>
                <w:i/>
                <w:sz w:val="24"/>
              </w:rPr>
              <w:t>Plaintiff</w:t>
            </w:r>
            <w:r w:rsidRPr="00FA54B8">
              <w:rPr>
                <w:rFonts w:eastAsia="Calibri"/>
                <w:sz w:val="24"/>
              </w:rPr>
              <w:t>,</w:t>
            </w:r>
          </w:p>
          <w:p w14:paraId="4890DDB3" w14:textId="77777777" w:rsidR="00FA54B8" w:rsidRPr="00FA54B8" w:rsidRDefault="00FA54B8" w:rsidP="00FA54B8">
            <w:pPr>
              <w:widowControl/>
              <w:autoSpaceDE/>
              <w:autoSpaceDN/>
              <w:adjustRightInd/>
              <w:rPr>
                <w:rFonts w:eastAsia="Calibri"/>
                <w:sz w:val="24"/>
              </w:rPr>
            </w:pPr>
          </w:p>
          <w:p w14:paraId="789604B3" w14:textId="77777777" w:rsidR="00FA54B8" w:rsidRPr="00FA54B8" w:rsidRDefault="00FA54B8" w:rsidP="00FA54B8">
            <w:pPr>
              <w:widowControl/>
              <w:autoSpaceDE/>
              <w:autoSpaceDN/>
              <w:adjustRightInd/>
              <w:rPr>
                <w:rFonts w:eastAsia="Calibri"/>
                <w:sz w:val="24"/>
              </w:rPr>
            </w:pPr>
            <w:r w:rsidRPr="00FA54B8">
              <w:rPr>
                <w:rFonts w:eastAsia="Calibri"/>
                <w:sz w:val="24"/>
              </w:rPr>
              <w:tab/>
              <w:t>v.</w:t>
            </w:r>
          </w:p>
          <w:p w14:paraId="2E3F3DB7" w14:textId="77777777" w:rsidR="00FA54B8" w:rsidRPr="00FA54B8" w:rsidRDefault="00FA54B8" w:rsidP="00FA54B8">
            <w:pPr>
              <w:widowControl/>
              <w:autoSpaceDE/>
              <w:autoSpaceDN/>
              <w:adjustRightInd/>
              <w:rPr>
                <w:rFonts w:eastAsia="Calibri"/>
                <w:sz w:val="24"/>
              </w:rPr>
            </w:pPr>
          </w:p>
          <w:p w14:paraId="4B2F6488" w14:textId="77777777" w:rsidR="00FA54B8" w:rsidRPr="00FA54B8" w:rsidRDefault="00FA54B8" w:rsidP="00FA54B8">
            <w:pPr>
              <w:widowControl/>
              <w:autoSpaceDE/>
              <w:autoSpaceDN/>
              <w:adjustRightInd/>
              <w:rPr>
                <w:rFonts w:eastAsia="Calibri"/>
                <w:sz w:val="24"/>
              </w:rPr>
            </w:pPr>
            <w:r w:rsidRPr="00FA54B8">
              <w:rPr>
                <w:rFonts w:eastAsia="Calibri"/>
                <w:sz w:val="24"/>
                <w:highlight w:val="yellow"/>
              </w:rPr>
              <w:t>XXX</w:t>
            </w:r>
            <w:r w:rsidRPr="00FA54B8">
              <w:rPr>
                <w:rFonts w:eastAsia="Calibri"/>
                <w:sz w:val="24"/>
              </w:rPr>
              <w:t xml:space="preserve"> </w:t>
            </w:r>
            <w:r w:rsidRPr="00FA54B8">
              <w:rPr>
                <w:rFonts w:eastAsia="Calibri"/>
                <w:sz w:val="24"/>
                <w:highlight w:val="yellow"/>
              </w:rPr>
              <w:t>XXXX</w:t>
            </w:r>
          </w:p>
          <w:p w14:paraId="74308115" w14:textId="77777777" w:rsidR="00FA54B8" w:rsidRPr="00FA54B8" w:rsidRDefault="00FA54B8" w:rsidP="00FA54B8">
            <w:pPr>
              <w:widowControl/>
              <w:autoSpaceDE/>
              <w:autoSpaceDN/>
              <w:adjustRightInd/>
              <w:rPr>
                <w:rFonts w:eastAsia="Calibri"/>
                <w:sz w:val="24"/>
              </w:rPr>
            </w:pPr>
            <w:r w:rsidRPr="00FA54B8">
              <w:rPr>
                <w:rFonts w:eastAsia="Calibri"/>
                <w:sz w:val="24"/>
              </w:rPr>
              <w:tab/>
            </w:r>
            <w:r w:rsidRPr="00FA54B8">
              <w:rPr>
                <w:rFonts w:eastAsia="Calibri"/>
                <w:sz w:val="24"/>
              </w:rPr>
              <w:tab/>
            </w:r>
            <w:r w:rsidRPr="00FA54B8">
              <w:rPr>
                <w:rFonts w:eastAsia="Calibri"/>
                <w:sz w:val="24"/>
              </w:rPr>
              <w:tab/>
            </w:r>
            <w:r w:rsidRPr="00FA54B8">
              <w:rPr>
                <w:rFonts w:eastAsia="Calibri"/>
                <w:i/>
                <w:sz w:val="24"/>
              </w:rPr>
              <w:t>Defendant</w:t>
            </w:r>
            <w:r w:rsidRPr="00FA54B8">
              <w:rPr>
                <w:rFonts w:eastAsia="Calibri"/>
                <w:sz w:val="24"/>
              </w:rPr>
              <w:t>.</w:t>
            </w:r>
          </w:p>
        </w:tc>
        <w:tc>
          <w:tcPr>
            <w:tcW w:w="540" w:type="dxa"/>
            <w:tcBorders>
              <w:top w:val="nil"/>
              <w:left w:val="single" w:sz="4" w:space="0" w:color="auto"/>
              <w:right w:val="nil"/>
            </w:tcBorders>
          </w:tcPr>
          <w:p w14:paraId="03D4EE01" w14:textId="77777777" w:rsidR="00FA54B8" w:rsidRPr="00FA54B8" w:rsidRDefault="00FA54B8" w:rsidP="00FA54B8">
            <w:pPr>
              <w:widowControl/>
              <w:autoSpaceDE/>
              <w:autoSpaceDN/>
              <w:adjustRightInd/>
              <w:rPr>
                <w:rFonts w:eastAsia="Calibri"/>
                <w:sz w:val="24"/>
              </w:rPr>
            </w:pPr>
          </w:p>
          <w:p w14:paraId="1ABB5B15" w14:textId="77777777" w:rsidR="00FA54B8" w:rsidRPr="00FA54B8" w:rsidRDefault="00FA54B8" w:rsidP="00FA54B8">
            <w:pPr>
              <w:widowControl/>
              <w:autoSpaceDE/>
              <w:autoSpaceDN/>
              <w:adjustRightInd/>
              <w:rPr>
                <w:rFonts w:eastAsia="Calibri"/>
                <w:sz w:val="24"/>
              </w:rPr>
            </w:pPr>
          </w:p>
          <w:p w14:paraId="20A1E961" w14:textId="77777777" w:rsidR="00FA54B8" w:rsidRPr="00FA54B8" w:rsidRDefault="00FA54B8" w:rsidP="00FA54B8">
            <w:pPr>
              <w:widowControl/>
              <w:autoSpaceDE/>
              <w:autoSpaceDN/>
              <w:adjustRightInd/>
              <w:rPr>
                <w:rFonts w:eastAsia="Calibri"/>
                <w:sz w:val="24"/>
              </w:rPr>
            </w:pPr>
          </w:p>
          <w:p w14:paraId="7E830347" w14:textId="77777777" w:rsidR="00FA54B8" w:rsidRPr="00FA54B8" w:rsidRDefault="00FA54B8" w:rsidP="00FA54B8">
            <w:pPr>
              <w:widowControl/>
              <w:autoSpaceDE/>
              <w:autoSpaceDN/>
              <w:adjustRightInd/>
              <w:rPr>
                <w:rFonts w:eastAsia="Calibri"/>
                <w:sz w:val="24"/>
              </w:rPr>
            </w:pPr>
          </w:p>
          <w:p w14:paraId="0321C138" w14:textId="77777777" w:rsidR="00FA54B8" w:rsidRPr="00FA54B8" w:rsidRDefault="00FA54B8" w:rsidP="00FA54B8">
            <w:pPr>
              <w:widowControl/>
              <w:autoSpaceDE/>
              <w:autoSpaceDN/>
              <w:adjustRightInd/>
              <w:rPr>
                <w:rFonts w:eastAsia="Calibri"/>
                <w:sz w:val="24"/>
              </w:rPr>
            </w:pPr>
          </w:p>
          <w:p w14:paraId="40FE2FBA" w14:textId="77777777" w:rsidR="00FA54B8" w:rsidRPr="00FA54B8" w:rsidRDefault="00FA54B8" w:rsidP="00FA54B8">
            <w:pPr>
              <w:widowControl/>
              <w:autoSpaceDE/>
              <w:autoSpaceDN/>
              <w:adjustRightInd/>
              <w:rPr>
                <w:rFonts w:eastAsia="Calibri"/>
                <w:sz w:val="24"/>
              </w:rPr>
            </w:pPr>
          </w:p>
          <w:p w14:paraId="7279B6C1" w14:textId="77777777" w:rsidR="00FA54B8" w:rsidRPr="00FA54B8" w:rsidRDefault="00FA54B8" w:rsidP="00FA54B8">
            <w:pPr>
              <w:widowControl/>
              <w:autoSpaceDE/>
              <w:autoSpaceDN/>
              <w:adjustRightInd/>
              <w:rPr>
                <w:rFonts w:eastAsia="Calibri"/>
                <w:sz w:val="24"/>
              </w:rPr>
            </w:pPr>
          </w:p>
          <w:p w14:paraId="42650632" w14:textId="77777777" w:rsidR="00FA54B8" w:rsidRPr="00FA54B8" w:rsidRDefault="00FA54B8" w:rsidP="00FA54B8">
            <w:pPr>
              <w:widowControl/>
              <w:autoSpaceDE/>
              <w:autoSpaceDN/>
              <w:adjustRightInd/>
              <w:rPr>
                <w:rFonts w:eastAsia="Calibri"/>
                <w:sz w:val="24"/>
              </w:rPr>
            </w:pPr>
          </w:p>
          <w:p w14:paraId="38AB7E36" w14:textId="77777777" w:rsidR="00FA54B8" w:rsidRPr="00FA54B8" w:rsidRDefault="00FA54B8" w:rsidP="00FA54B8">
            <w:pPr>
              <w:widowControl/>
              <w:autoSpaceDE/>
              <w:autoSpaceDN/>
              <w:adjustRightInd/>
              <w:rPr>
                <w:rFonts w:eastAsia="Calibri"/>
                <w:sz w:val="24"/>
              </w:rPr>
            </w:pPr>
          </w:p>
        </w:tc>
        <w:tc>
          <w:tcPr>
            <w:tcW w:w="4590" w:type="dxa"/>
            <w:tcBorders>
              <w:top w:val="nil"/>
              <w:left w:val="nil"/>
              <w:right w:val="nil"/>
            </w:tcBorders>
          </w:tcPr>
          <w:p w14:paraId="2615B37D" w14:textId="77777777" w:rsidR="00FA54B8" w:rsidRPr="00FA54B8" w:rsidRDefault="00FA54B8" w:rsidP="00FA54B8">
            <w:pPr>
              <w:widowControl/>
              <w:autoSpaceDE/>
              <w:autoSpaceDN/>
              <w:adjustRightInd/>
              <w:rPr>
                <w:rFonts w:eastAsia="Calibri"/>
                <w:sz w:val="24"/>
              </w:rPr>
            </w:pPr>
          </w:p>
          <w:p w14:paraId="29937C08" w14:textId="77777777" w:rsidR="00FA54B8" w:rsidRPr="00FA54B8" w:rsidRDefault="00FA54B8" w:rsidP="00FA54B8">
            <w:pPr>
              <w:widowControl/>
              <w:autoSpaceDE/>
              <w:autoSpaceDN/>
              <w:adjustRightInd/>
              <w:rPr>
                <w:rFonts w:eastAsia="Calibri"/>
                <w:sz w:val="24"/>
              </w:rPr>
            </w:pPr>
          </w:p>
          <w:p w14:paraId="1A0A0C89" w14:textId="77777777" w:rsidR="00FA54B8" w:rsidRPr="00FA54B8" w:rsidRDefault="00FA54B8" w:rsidP="00FA54B8">
            <w:pPr>
              <w:widowControl/>
              <w:autoSpaceDE/>
              <w:autoSpaceDN/>
              <w:adjustRightInd/>
              <w:ind w:left="630"/>
              <w:rPr>
                <w:rFonts w:eastAsia="Calibri"/>
                <w:sz w:val="24"/>
              </w:rPr>
            </w:pPr>
            <w:r w:rsidRPr="00FA54B8">
              <w:rPr>
                <w:rFonts w:eastAsia="Calibri"/>
                <w:sz w:val="24"/>
              </w:rPr>
              <w:t xml:space="preserve">No. </w:t>
            </w:r>
            <w:r w:rsidRPr="00FA54B8">
              <w:rPr>
                <w:rFonts w:eastAsia="Calibri"/>
                <w:sz w:val="24"/>
                <w:highlight w:val="yellow"/>
              </w:rPr>
              <w:t>XXXXX</w:t>
            </w:r>
          </w:p>
          <w:p w14:paraId="0E8F9E24" w14:textId="77777777" w:rsidR="00FA54B8" w:rsidRPr="00FA54B8" w:rsidRDefault="00FA54B8" w:rsidP="00FA54B8">
            <w:pPr>
              <w:widowControl/>
              <w:autoSpaceDE/>
              <w:autoSpaceDN/>
              <w:adjustRightInd/>
              <w:ind w:left="630"/>
              <w:rPr>
                <w:rFonts w:eastAsia="Calibri"/>
                <w:sz w:val="24"/>
              </w:rPr>
            </w:pPr>
            <w:r w:rsidRPr="00FA54B8">
              <w:rPr>
                <w:rFonts w:eastAsia="Calibri"/>
                <w:sz w:val="24"/>
              </w:rPr>
              <w:t xml:space="preserve">Section </w:t>
            </w:r>
            <w:r w:rsidRPr="00FA54B8">
              <w:rPr>
                <w:rFonts w:eastAsia="Calibri"/>
                <w:sz w:val="24"/>
                <w:highlight w:val="yellow"/>
              </w:rPr>
              <w:t>XX</w:t>
            </w:r>
          </w:p>
          <w:p w14:paraId="36B291A9" w14:textId="77777777" w:rsidR="00FA54B8" w:rsidRPr="00FA54B8" w:rsidRDefault="00FA54B8" w:rsidP="00FA54B8">
            <w:pPr>
              <w:widowControl/>
              <w:autoSpaceDE/>
              <w:autoSpaceDN/>
              <w:adjustRightInd/>
              <w:ind w:left="630"/>
              <w:rPr>
                <w:rFonts w:eastAsia="Calibri"/>
                <w:sz w:val="24"/>
              </w:rPr>
            </w:pPr>
            <w:r w:rsidRPr="00FA54B8">
              <w:rPr>
                <w:rFonts w:eastAsia="Calibri"/>
                <w:sz w:val="24"/>
              </w:rPr>
              <w:t>Hon. XXX</w:t>
            </w:r>
          </w:p>
        </w:tc>
      </w:tr>
    </w:tbl>
    <w:p w14:paraId="197E3A7D" w14:textId="77777777" w:rsidR="00FA54B8" w:rsidRPr="00FA54B8" w:rsidRDefault="00FA54B8" w:rsidP="00FA54B8">
      <w:pPr>
        <w:widowControl/>
        <w:autoSpaceDE/>
        <w:autoSpaceDN/>
        <w:adjustRightInd/>
        <w:rPr>
          <w:rFonts w:eastAsia="Calibri"/>
          <w:b/>
          <w:bCs/>
          <w:sz w:val="24"/>
        </w:rPr>
      </w:pPr>
    </w:p>
    <w:tbl>
      <w:tblPr>
        <w:tblW w:w="0" w:type="auto"/>
        <w:tblLayout w:type="fixed"/>
        <w:tblCellMar>
          <w:left w:w="0" w:type="dxa"/>
          <w:right w:w="0" w:type="dxa"/>
        </w:tblCellMar>
        <w:tblLook w:val="0000" w:firstRow="0" w:lastRow="0" w:firstColumn="0" w:lastColumn="0" w:noHBand="0" w:noVBand="0"/>
      </w:tblPr>
      <w:tblGrid>
        <w:gridCol w:w="4230"/>
        <w:gridCol w:w="540"/>
        <w:gridCol w:w="4590"/>
      </w:tblGrid>
      <w:tr w:rsidR="00FA54B8" w:rsidRPr="00FA54B8" w14:paraId="353FA072" w14:textId="77777777" w:rsidTr="00E22D1C">
        <w:trPr>
          <w:cantSplit/>
        </w:trPr>
        <w:tc>
          <w:tcPr>
            <w:tcW w:w="4230" w:type="dxa"/>
            <w:tcBorders>
              <w:bottom w:val="single" w:sz="4" w:space="0" w:color="auto"/>
            </w:tcBorders>
          </w:tcPr>
          <w:p w14:paraId="1A968815" w14:textId="77777777" w:rsidR="00FA54B8" w:rsidRPr="00FA54B8" w:rsidRDefault="00FA54B8" w:rsidP="00FA54B8">
            <w:pPr>
              <w:widowControl/>
              <w:autoSpaceDE/>
              <w:autoSpaceDN/>
              <w:adjustRightInd/>
              <w:rPr>
                <w:rFonts w:eastAsia="Calibri"/>
                <w:sz w:val="24"/>
              </w:rPr>
            </w:pPr>
          </w:p>
          <w:p w14:paraId="1BEF49B9" w14:textId="77777777" w:rsidR="00FA54B8" w:rsidRPr="00FA54B8" w:rsidRDefault="00FA54B8" w:rsidP="00FA54B8">
            <w:pPr>
              <w:widowControl/>
              <w:autoSpaceDE/>
              <w:autoSpaceDN/>
              <w:adjustRightInd/>
              <w:rPr>
                <w:rFonts w:eastAsia="Calibri"/>
                <w:sz w:val="24"/>
              </w:rPr>
            </w:pPr>
          </w:p>
        </w:tc>
        <w:tc>
          <w:tcPr>
            <w:tcW w:w="540" w:type="dxa"/>
          </w:tcPr>
          <w:p w14:paraId="45EC0B9C" w14:textId="77777777" w:rsidR="00FA54B8" w:rsidRPr="00FA54B8" w:rsidRDefault="00FA54B8" w:rsidP="00FA54B8">
            <w:pPr>
              <w:widowControl/>
              <w:autoSpaceDE/>
              <w:autoSpaceDN/>
              <w:adjustRightInd/>
              <w:rPr>
                <w:rFonts w:eastAsia="Calibri"/>
                <w:sz w:val="24"/>
              </w:rPr>
            </w:pPr>
          </w:p>
        </w:tc>
        <w:tc>
          <w:tcPr>
            <w:tcW w:w="4590" w:type="dxa"/>
            <w:tcBorders>
              <w:bottom w:val="single" w:sz="4" w:space="0" w:color="auto"/>
            </w:tcBorders>
          </w:tcPr>
          <w:p w14:paraId="0B862B81" w14:textId="77777777" w:rsidR="00FA54B8" w:rsidRPr="00FA54B8" w:rsidRDefault="00FA54B8" w:rsidP="00FA54B8">
            <w:pPr>
              <w:widowControl/>
              <w:autoSpaceDE/>
              <w:autoSpaceDN/>
              <w:adjustRightInd/>
              <w:rPr>
                <w:rFonts w:eastAsia="Calibri"/>
                <w:sz w:val="24"/>
              </w:rPr>
            </w:pPr>
          </w:p>
        </w:tc>
      </w:tr>
      <w:tr w:rsidR="00FA54B8" w:rsidRPr="00FA54B8" w14:paraId="123287C8" w14:textId="77777777" w:rsidTr="00E22D1C">
        <w:trPr>
          <w:cantSplit/>
        </w:trPr>
        <w:tc>
          <w:tcPr>
            <w:tcW w:w="4230" w:type="dxa"/>
            <w:tcBorders>
              <w:top w:val="single" w:sz="4" w:space="0" w:color="auto"/>
            </w:tcBorders>
          </w:tcPr>
          <w:p w14:paraId="64FB122C" w14:textId="77777777" w:rsidR="00FA54B8" w:rsidRPr="00FA54B8" w:rsidRDefault="00FA54B8" w:rsidP="00FA54B8">
            <w:pPr>
              <w:widowControl/>
              <w:autoSpaceDE/>
              <w:autoSpaceDN/>
              <w:adjustRightInd/>
              <w:rPr>
                <w:rFonts w:eastAsia="Calibri"/>
                <w:sz w:val="24"/>
              </w:rPr>
            </w:pPr>
            <w:r w:rsidRPr="00FA54B8">
              <w:rPr>
                <w:rFonts w:eastAsia="Calibri"/>
                <w:sz w:val="24"/>
              </w:rPr>
              <w:t>FILED</w:t>
            </w:r>
          </w:p>
        </w:tc>
        <w:tc>
          <w:tcPr>
            <w:tcW w:w="540" w:type="dxa"/>
          </w:tcPr>
          <w:p w14:paraId="0EF51D3F" w14:textId="77777777" w:rsidR="00FA54B8" w:rsidRPr="00FA54B8" w:rsidRDefault="00FA54B8" w:rsidP="00FA54B8">
            <w:pPr>
              <w:widowControl/>
              <w:autoSpaceDE/>
              <w:autoSpaceDN/>
              <w:adjustRightInd/>
              <w:rPr>
                <w:rFonts w:eastAsia="Calibri"/>
                <w:sz w:val="24"/>
              </w:rPr>
            </w:pPr>
          </w:p>
        </w:tc>
        <w:tc>
          <w:tcPr>
            <w:tcW w:w="4590" w:type="dxa"/>
            <w:tcBorders>
              <w:top w:val="single" w:sz="4" w:space="0" w:color="auto"/>
            </w:tcBorders>
          </w:tcPr>
          <w:p w14:paraId="6C6FA5A4" w14:textId="77777777" w:rsidR="00FA54B8" w:rsidRPr="00FA54B8" w:rsidRDefault="00FA54B8" w:rsidP="00FA54B8">
            <w:pPr>
              <w:widowControl/>
              <w:autoSpaceDE/>
              <w:autoSpaceDN/>
              <w:adjustRightInd/>
              <w:rPr>
                <w:rFonts w:eastAsia="Calibri"/>
                <w:sz w:val="24"/>
              </w:rPr>
            </w:pPr>
            <w:r w:rsidRPr="00FA54B8">
              <w:rPr>
                <w:rFonts w:eastAsia="Calibri"/>
                <w:sz w:val="24"/>
              </w:rPr>
              <w:t>DEPUTY CLERK OF COURT</w:t>
            </w:r>
          </w:p>
        </w:tc>
      </w:tr>
    </w:tbl>
    <w:p w14:paraId="23746F23" w14:textId="77777777" w:rsidR="00996F82" w:rsidRPr="00B45B9D" w:rsidRDefault="00996F82" w:rsidP="00996F82"/>
    <w:p w14:paraId="44D85EF7" w14:textId="77777777" w:rsidR="00996F82" w:rsidRPr="00B45B9D" w:rsidRDefault="00996F82" w:rsidP="00996F82">
      <w:pPr>
        <w:jc w:val="both"/>
        <w:rPr>
          <w:sz w:val="24"/>
        </w:rPr>
      </w:pPr>
      <w:r w:rsidRPr="00B45B9D">
        <w:rPr>
          <w:sz w:val="24"/>
        </w:rPr>
        <w:tab/>
      </w:r>
    </w:p>
    <w:p w14:paraId="3BC00DFC" w14:textId="74034472" w:rsidR="00996F82" w:rsidRPr="00B45B9D" w:rsidRDefault="00996F82" w:rsidP="00996F82">
      <w:pPr>
        <w:pStyle w:val="Title"/>
        <w:spacing w:before="240" w:after="240"/>
        <w:rPr>
          <w:rFonts w:cs="Times New Roman"/>
          <w:sz w:val="24"/>
          <w:szCs w:val="24"/>
        </w:rPr>
      </w:pPr>
      <w:r w:rsidRPr="00B45B9D">
        <w:rPr>
          <w:rFonts w:cs="Times New Roman"/>
          <w:sz w:val="24"/>
          <w:szCs w:val="24"/>
        </w:rPr>
        <w:t>MOTION TO REQUIRE A UNANIMOUS JURY VERDICT</w:t>
      </w:r>
      <w:r w:rsidR="00000D3A" w:rsidRPr="00B45B9D">
        <w:rPr>
          <w:rFonts w:cs="Times New Roman"/>
          <w:sz w:val="24"/>
          <w:szCs w:val="24"/>
        </w:rPr>
        <w:t>,</w:t>
      </w:r>
      <w:r w:rsidRPr="00B45B9D">
        <w:rPr>
          <w:rFonts w:cs="Times New Roman"/>
          <w:sz w:val="24"/>
          <w:szCs w:val="24"/>
        </w:rPr>
        <w:t xml:space="preserve"> OR, IN THE ALTERNATIVE, STAY ALL PROCEEDINGS UNTIL</w:t>
      </w:r>
      <w:r w:rsidR="00DB4134" w:rsidRPr="00B45B9D">
        <w:rPr>
          <w:rFonts w:cs="Times New Roman"/>
          <w:sz w:val="24"/>
          <w:szCs w:val="24"/>
        </w:rPr>
        <w:t xml:space="preserve"> </w:t>
      </w:r>
      <w:r w:rsidRPr="00B45B9D">
        <w:rPr>
          <w:rFonts w:cs="Times New Roman"/>
          <w:sz w:val="24"/>
          <w:szCs w:val="24"/>
        </w:rPr>
        <w:t xml:space="preserve">THE UNITED STATES SUPREME COURT RULES </w:t>
      </w:r>
      <w:r w:rsidR="009D56E7" w:rsidRPr="00B45B9D">
        <w:rPr>
          <w:rFonts w:cs="Times New Roman"/>
          <w:sz w:val="24"/>
          <w:szCs w:val="24"/>
        </w:rPr>
        <w:t>IN</w:t>
      </w:r>
      <w:r w:rsidRPr="00B45B9D">
        <w:rPr>
          <w:rFonts w:cs="Times New Roman"/>
          <w:sz w:val="24"/>
          <w:szCs w:val="24"/>
        </w:rPr>
        <w:t xml:space="preserve"> </w:t>
      </w:r>
      <w:r w:rsidRPr="00B45B9D">
        <w:rPr>
          <w:rFonts w:cs="Times New Roman"/>
          <w:i/>
          <w:sz w:val="24"/>
          <w:szCs w:val="24"/>
        </w:rPr>
        <w:t xml:space="preserve">RAMOS VS. </w:t>
      </w:r>
      <w:r w:rsidRPr="00B45B9D">
        <w:rPr>
          <w:rFonts w:cs="Times New Roman"/>
          <w:i/>
          <w:iCs/>
          <w:sz w:val="24"/>
          <w:szCs w:val="24"/>
        </w:rPr>
        <w:t>LOUISIANA</w:t>
      </w:r>
      <w:r w:rsidR="008A332D" w:rsidRPr="00B45B9D">
        <w:rPr>
          <w:rFonts w:cs="Times New Roman"/>
          <w:i/>
          <w:iCs/>
          <w:sz w:val="24"/>
          <w:szCs w:val="24"/>
        </w:rPr>
        <w:t xml:space="preserve">, ___ </w:t>
      </w:r>
      <w:r w:rsidR="008D41DD" w:rsidRPr="00B45B9D">
        <w:rPr>
          <w:rFonts w:cs="Times New Roman"/>
          <w:sz w:val="24"/>
          <w:szCs w:val="24"/>
        </w:rPr>
        <w:t>U.S ___</w:t>
      </w:r>
      <w:r w:rsidR="007A1BEE" w:rsidRPr="00B45B9D">
        <w:rPr>
          <w:rFonts w:cs="Times New Roman"/>
          <w:sz w:val="24"/>
          <w:szCs w:val="24"/>
        </w:rPr>
        <w:t xml:space="preserve"> (20__)</w:t>
      </w:r>
    </w:p>
    <w:p w14:paraId="1FBE8898" w14:textId="039F04BC" w:rsidR="00E723F8" w:rsidRPr="00B45B9D" w:rsidRDefault="00996F82" w:rsidP="00000D3A">
      <w:pPr>
        <w:spacing w:line="480" w:lineRule="auto"/>
        <w:ind w:firstLine="720"/>
        <w:jc w:val="both"/>
        <w:rPr>
          <w:lang w:val="en-CA"/>
        </w:rPr>
      </w:pPr>
      <w:r w:rsidRPr="00B45B9D">
        <w:rPr>
          <w:sz w:val="24"/>
          <w:lang w:val="en-CA"/>
        </w:rPr>
        <w:t xml:space="preserve">COMES NOW </w:t>
      </w:r>
      <w:r w:rsidR="000726DA">
        <w:rPr>
          <w:sz w:val="24"/>
          <w:lang w:val="en-CA"/>
        </w:rPr>
        <w:t>[</w:t>
      </w:r>
      <w:r w:rsidR="000726DA" w:rsidRPr="000726DA">
        <w:rPr>
          <w:sz w:val="24"/>
          <w:highlight w:val="yellow"/>
          <w:lang w:val="en-CA"/>
        </w:rPr>
        <w:t>NAME OF CLIENT</w:t>
      </w:r>
      <w:r w:rsidR="000726DA">
        <w:rPr>
          <w:sz w:val="24"/>
          <w:lang w:val="en-CA"/>
        </w:rPr>
        <w:t>]</w:t>
      </w:r>
      <w:r w:rsidRPr="00B45B9D">
        <w:rPr>
          <w:sz w:val="24"/>
          <w:lang w:val="en-CA"/>
        </w:rPr>
        <w:t xml:space="preserve">, through undersigned counsel, and respectfully moves this Court to find that, pursuant to the Sixth and Fourteenth Amendments to the United States Constitution, </w:t>
      </w:r>
      <w:r w:rsidR="00B23DC5">
        <w:rPr>
          <w:sz w:val="24"/>
          <w:lang w:val="en-CA"/>
        </w:rPr>
        <w:t>[</w:t>
      </w:r>
      <w:r w:rsidR="00B23DC5" w:rsidRPr="000726DA">
        <w:rPr>
          <w:sz w:val="24"/>
          <w:highlight w:val="yellow"/>
          <w:lang w:val="en-CA"/>
        </w:rPr>
        <w:t>NAME OF CLIENT</w:t>
      </w:r>
      <w:r w:rsidR="00B23DC5">
        <w:rPr>
          <w:sz w:val="24"/>
          <w:lang w:val="en-CA"/>
        </w:rPr>
        <w:t>]</w:t>
      </w:r>
      <w:r w:rsidRPr="00B45B9D">
        <w:rPr>
          <w:sz w:val="24"/>
          <w:lang w:val="en-CA"/>
        </w:rPr>
        <w:t xml:space="preserve"> is entitled to a unanimous jury verdict in the trial of his criminal case</w:t>
      </w:r>
      <w:r w:rsidR="007D1275" w:rsidRPr="00B45B9D">
        <w:rPr>
          <w:sz w:val="24"/>
          <w:lang w:val="en-CA"/>
        </w:rPr>
        <w:t xml:space="preserve"> </w:t>
      </w:r>
      <w:r w:rsidR="00B23DC5">
        <w:rPr>
          <w:sz w:val="24"/>
          <w:lang w:val="en-CA"/>
        </w:rPr>
        <w:t>and therefore</w:t>
      </w:r>
      <w:r w:rsidR="00A34941">
        <w:rPr>
          <w:sz w:val="24"/>
          <w:lang w:val="en-CA"/>
        </w:rPr>
        <w:t>,</w:t>
      </w:r>
      <w:r w:rsidR="00A233A8" w:rsidRPr="00B45B9D">
        <w:rPr>
          <w:sz w:val="24"/>
          <w:lang w:val="en-CA"/>
        </w:rPr>
        <w:t xml:space="preserve"> La. Const. </w:t>
      </w:r>
      <w:r w:rsidR="0084294B" w:rsidRPr="00B45B9D">
        <w:rPr>
          <w:sz w:val="24"/>
          <w:lang w:val="en-CA"/>
        </w:rPr>
        <w:t>art</w:t>
      </w:r>
      <w:r w:rsidR="00A233A8" w:rsidRPr="00B45B9D">
        <w:rPr>
          <w:sz w:val="24"/>
          <w:lang w:val="en-CA"/>
        </w:rPr>
        <w:t>. I</w:t>
      </w:r>
      <w:r w:rsidR="00040C71" w:rsidRPr="00B45B9D">
        <w:rPr>
          <w:sz w:val="24"/>
          <w:lang w:val="en-CA"/>
        </w:rPr>
        <w:t xml:space="preserve">, </w:t>
      </w:r>
      <w:r w:rsidR="00665143" w:rsidRPr="00B45B9D">
        <w:rPr>
          <w:sz w:val="24"/>
          <w:lang w:val="en-CA"/>
        </w:rPr>
        <w:t>§ 17 and La. C.Cr.P</w:t>
      </w:r>
      <w:r w:rsidR="00000D3A" w:rsidRPr="00B45B9D">
        <w:rPr>
          <w:sz w:val="24"/>
          <w:lang w:val="en-CA"/>
        </w:rPr>
        <w:t>.</w:t>
      </w:r>
      <w:r w:rsidR="00665143" w:rsidRPr="00B45B9D">
        <w:rPr>
          <w:sz w:val="24"/>
          <w:lang w:val="en-CA"/>
        </w:rPr>
        <w:t xml:space="preserve"> art. 782</w:t>
      </w:r>
      <w:r w:rsidR="00377F6E" w:rsidRPr="00B45B9D">
        <w:rPr>
          <w:sz w:val="24"/>
          <w:lang w:val="en-CA"/>
        </w:rPr>
        <w:t xml:space="preserve"> </w:t>
      </w:r>
      <w:r w:rsidR="007D1275" w:rsidRPr="00B45B9D">
        <w:rPr>
          <w:sz w:val="24"/>
          <w:lang w:val="en-CA"/>
        </w:rPr>
        <w:t>violate the U.S. Constitution</w:t>
      </w:r>
      <w:r w:rsidR="00377F6E" w:rsidRPr="00B45B9D">
        <w:rPr>
          <w:sz w:val="24"/>
          <w:lang w:val="en-CA"/>
        </w:rPr>
        <w:t>.</w:t>
      </w:r>
      <w:r w:rsidR="007D1275" w:rsidRPr="00B45B9D">
        <w:rPr>
          <w:sz w:val="24"/>
          <w:lang w:val="en-CA"/>
        </w:rPr>
        <w:t xml:space="preserve"> </w:t>
      </w:r>
      <w:r w:rsidR="00062AFB">
        <w:rPr>
          <w:sz w:val="24"/>
          <w:lang w:val="en-CA"/>
        </w:rPr>
        <w:t>[</w:t>
      </w:r>
      <w:r w:rsidR="00062AFB" w:rsidRPr="000726DA">
        <w:rPr>
          <w:sz w:val="24"/>
          <w:highlight w:val="yellow"/>
          <w:lang w:val="en-CA"/>
        </w:rPr>
        <w:t>NAME OF CLIENT</w:t>
      </w:r>
      <w:r w:rsidR="00062AFB">
        <w:rPr>
          <w:sz w:val="24"/>
          <w:lang w:val="en-CA"/>
        </w:rPr>
        <w:t>]</w:t>
      </w:r>
      <w:r w:rsidR="002C4915" w:rsidRPr="00B45B9D">
        <w:rPr>
          <w:sz w:val="24"/>
          <w:lang w:val="en-CA"/>
        </w:rPr>
        <w:t xml:space="preserve"> moves this Court </w:t>
      </w:r>
      <w:r w:rsidR="00000D3A" w:rsidRPr="00B45B9D">
        <w:rPr>
          <w:sz w:val="24"/>
          <w:lang w:val="en-CA"/>
        </w:rPr>
        <w:t>to</w:t>
      </w:r>
      <w:r w:rsidR="002C4915" w:rsidRPr="00B45B9D">
        <w:rPr>
          <w:sz w:val="24"/>
          <w:lang w:val="en-CA"/>
        </w:rPr>
        <w:t xml:space="preserve"> </w:t>
      </w:r>
      <w:r w:rsidRPr="00B45B9D">
        <w:rPr>
          <w:sz w:val="24"/>
          <w:lang w:val="en-CA"/>
        </w:rPr>
        <w:t xml:space="preserve">order </w:t>
      </w:r>
      <w:r w:rsidRPr="00B45B9D">
        <w:rPr>
          <w:sz w:val="24"/>
          <w:lang w:val="en-CA"/>
        </w:rPr>
        <w:lastRenderedPageBreak/>
        <w:t>that a jury shall</w:t>
      </w:r>
      <w:r w:rsidR="007D1275" w:rsidRPr="00B45B9D">
        <w:rPr>
          <w:sz w:val="24"/>
          <w:lang w:val="en-CA"/>
        </w:rPr>
        <w:t xml:space="preserve"> return a unanimous verdict at his </w:t>
      </w:r>
      <w:r w:rsidRPr="00B45B9D">
        <w:rPr>
          <w:sz w:val="24"/>
          <w:lang w:val="en-CA"/>
        </w:rPr>
        <w:t xml:space="preserve">trial, or, in the alternative, to stay all proceedings in this case while the United States Supreme Court considers this precise question in </w:t>
      </w:r>
      <w:r w:rsidRPr="00B45B9D">
        <w:rPr>
          <w:i/>
          <w:sz w:val="24"/>
          <w:lang w:val="en-CA"/>
        </w:rPr>
        <w:t>Ramos v. Louisiana</w:t>
      </w:r>
      <w:r w:rsidR="00263197" w:rsidRPr="00B45B9D">
        <w:rPr>
          <w:i/>
          <w:iCs/>
          <w:sz w:val="24"/>
        </w:rPr>
        <w:t xml:space="preserve">, ___ </w:t>
      </w:r>
      <w:r w:rsidR="00263197" w:rsidRPr="00B45B9D">
        <w:rPr>
          <w:sz w:val="24"/>
        </w:rPr>
        <w:t>U.S ___ (20__)</w:t>
      </w:r>
      <w:r w:rsidRPr="00B45B9D">
        <w:rPr>
          <w:lang w:val="en-CA"/>
        </w:rPr>
        <w:t>.</w:t>
      </w:r>
      <w:r w:rsidR="00007B9B" w:rsidRPr="00B45B9D">
        <w:rPr>
          <w:rStyle w:val="FootnoteReference"/>
          <w:lang w:val="en-CA"/>
        </w:rPr>
        <w:footnoteReference w:id="2"/>
      </w:r>
      <w:r w:rsidRPr="00B45B9D">
        <w:rPr>
          <w:lang w:val="en-CA"/>
        </w:rPr>
        <w:t xml:space="preserve"> </w:t>
      </w:r>
    </w:p>
    <w:p w14:paraId="1F06B67A" w14:textId="6624E12F" w:rsidR="007A5839" w:rsidRPr="00B45B9D" w:rsidRDefault="00996F82" w:rsidP="00996F82">
      <w:pPr>
        <w:spacing w:line="480" w:lineRule="auto"/>
        <w:ind w:firstLine="720"/>
        <w:jc w:val="both"/>
        <w:rPr>
          <w:sz w:val="24"/>
          <w:lang w:val="en-CA"/>
        </w:rPr>
      </w:pPr>
      <w:r w:rsidRPr="00B45B9D">
        <w:rPr>
          <w:sz w:val="24"/>
          <w:lang w:val="en-CA"/>
        </w:rPr>
        <w:t xml:space="preserve">La. Const. </w:t>
      </w:r>
      <w:r w:rsidRPr="00B45B9D">
        <w:rPr>
          <w:sz w:val="24"/>
        </w:rPr>
        <w:t>art. I, § 17</w:t>
      </w:r>
      <w:r w:rsidR="0084294B" w:rsidRPr="00B45B9D">
        <w:rPr>
          <w:sz w:val="24"/>
        </w:rPr>
        <w:t xml:space="preserve"> </w:t>
      </w:r>
      <w:r w:rsidR="001E660A" w:rsidRPr="00B45B9D">
        <w:rPr>
          <w:sz w:val="24"/>
          <w:lang w:val="en-CA"/>
        </w:rPr>
        <w:t>and La. C.Cr.P</w:t>
      </w:r>
      <w:r w:rsidR="00171430">
        <w:rPr>
          <w:sz w:val="24"/>
          <w:lang w:val="en-CA"/>
        </w:rPr>
        <w:t>.</w:t>
      </w:r>
      <w:r w:rsidR="001E660A" w:rsidRPr="00B45B9D">
        <w:rPr>
          <w:sz w:val="24"/>
          <w:lang w:val="en-CA"/>
        </w:rPr>
        <w:t xml:space="preserve"> art. 782 </w:t>
      </w:r>
      <w:r w:rsidRPr="00B45B9D">
        <w:rPr>
          <w:sz w:val="24"/>
          <w:lang w:val="en-CA"/>
        </w:rPr>
        <w:t xml:space="preserve">violate </w:t>
      </w:r>
      <w:r w:rsidR="007F1F81">
        <w:rPr>
          <w:sz w:val="24"/>
          <w:lang w:val="en-CA"/>
        </w:rPr>
        <w:t>[</w:t>
      </w:r>
      <w:r w:rsidR="007F1F81" w:rsidRPr="000726DA">
        <w:rPr>
          <w:sz w:val="24"/>
          <w:highlight w:val="yellow"/>
          <w:lang w:val="en-CA"/>
        </w:rPr>
        <w:t>NAME OF CLIENT</w:t>
      </w:r>
      <w:r w:rsidR="007F1F81">
        <w:rPr>
          <w:sz w:val="24"/>
          <w:lang w:val="en-CA"/>
        </w:rPr>
        <w:t>]</w:t>
      </w:r>
      <w:r w:rsidRPr="00B45B9D">
        <w:rPr>
          <w:sz w:val="24"/>
          <w:lang w:val="en-CA"/>
        </w:rPr>
        <w:t xml:space="preserve">’s rights by subjecting </w:t>
      </w:r>
      <w:r w:rsidRPr="00062AFB">
        <w:rPr>
          <w:sz w:val="24"/>
          <w:highlight w:val="yellow"/>
          <w:lang w:val="en-CA"/>
        </w:rPr>
        <w:t>him</w:t>
      </w:r>
      <w:r w:rsidRPr="00B45B9D">
        <w:rPr>
          <w:sz w:val="24"/>
          <w:lang w:val="en-CA"/>
        </w:rPr>
        <w:t xml:space="preserve"> to the possibility of a non-unanimous jury verdict, in violation of his Sixth and Fourteenth Amendment rights. The United States Supreme Court </w:t>
      </w:r>
      <w:r w:rsidR="00B432B8">
        <w:rPr>
          <w:sz w:val="24"/>
          <w:lang w:val="en-CA"/>
        </w:rPr>
        <w:t>case upholding the constitutionality of non-unanimous juries</w:t>
      </w:r>
      <w:r w:rsidRPr="00B45B9D">
        <w:rPr>
          <w:sz w:val="24"/>
          <w:lang w:val="en-CA"/>
        </w:rPr>
        <w:t xml:space="preserve">, </w:t>
      </w:r>
      <w:r w:rsidRPr="00B45B9D">
        <w:rPr>
          <w:i/>
          <w:sz w:val="24"/>
          <w:lang w:val="en-CA"/>
        </w:rPr>
        <w:t>Apodaca v. Oregon</w:t>
      </w:r>
      <w:r w:rsidRPr="00B45B9D">
        <w:rPr>
          <w:sz w:val="24"/>
          <w:lang w:val="en-CA"/>
        </w:rPr>
        <w:t xml:space="preserve">, 406 U.S. 404, 406, 92 S. Ct. 1628, 1630, 32 L. Ed. 2d 184 (1972), </w:t>
      </w:r>
      <w:r w:rsidR="0053676B" w:rsidRPr="00B45B9D">
        <w:rPr>
          <w:sz w:val="24"/>
          <w:lang w:val="en-CA"/>
        </w:rPr>
        <w:t>resulted in</w:t>
      </w:r>
      <w:r w:rsidRPr="00B45B9D">
        <w:rPr>
          <w:sz w:val="24"/>
          <w:lang w:val="en-CA"/>
        </w:rPr>
        <w:t xml:space="preserve"> a fractured </w:t>
      </w:r>
      <w:r w:rsidR="00E51A9B">
        <w:rPr>
          <w:sz w:val="24"/>
          <w:lang w:val="en-CA"/>
        </w:rPr>
        <w:t xml:space="preserve">decision, </w:t>
      </w:r>
      <w:r w:rsidRPr="00B45B9D">
        <w:rPr>
          <w:sz w:val="24"/>
          <w:lang w:val="en-CA"/>
        </w:rPr>
        <w:t xml:space="preserve">where the </w:t>
      </w:r>
      <w:r w:rsidR="00756D07" w:rsidRPr="00B45B9D">
        <w:rPr>
          <w:sz w:val="24"/>
          <w:lang w:val="en-CA"/>
        </w:rPr>
        <w:t xml:space="preserve">technical </w:t>
      </w:r>
      <w:r w:rsidRPr="00B45B9D">
        <w:rPr>
          <w:sz w:val="24"/>
          <w:lang w:val="en-CA"/>
        </w:rPr>
        <w:t xml:space="preserve">holding, that the Sixth Amendment requires unanimous jury verdicts but is not fully incorporated against the states under the Fourteenth Amendment, </w:t>
      </w:r>
      <w:r w:rsidR="00F33494" w:rsidRPr="00B45B9D">
        <w:rPr>
          <w:sz w:val="24"/>
          <w:lang w:val="en-CA"/>
        </w:rPr>
        <w:t xml:space="preserve">received </w:t>
      </w:r>
      <w:r w:rsidR="004B3871" w:rsidRPr="00B45B9D">
        <w:rPr>
          <w:sz w:val="24"/>
          <w:lang w:val="en-CA"/>
        </w:rPr>
        <w:t xml:space="preserve">one lone </w:t>
      </w:r>
      <w:r w:rsidR="00F33494" w:rsidRPr="00B45B9D">
        <w:rPr>
          <w:sz w:val="24"/>
          <w:lang w:val="en-CA"/>
        </w:rPr>
        <w:t>vote from</w:t>
      </w:r>
      <w:r w:rsidRPr="00B45B9D">
        <w:rPr>
          <w:sz w:val="24"/>
          <w:lang w:val="en-CA"/>
        </w:rPr>
        <w:t xml:space="preserve"> Justice Powell. </w:t>
      </w:r>
      <w:r w:rsidR="00DD45B5" w:rsidRPr="00B45B9D">
        <w:rPr>
          <w:sz w:val="24"/>
          <w:lang w:val="en-CA"/>
        </w:rPr>
        <w:t>It guaranteed</w:t>
      </w:r>
      <w:r w:rsidR="007A5839" w:rsidRPr="00B45B9D">
        <w:rPr>
          <w:sz w:val="24"/>
          <w:lang w:val="en-CA"/>
        </w:rPr>
        <w:t xml:space="preserve"> to</w:t>
      </w:r>
      <w:r w:rsidR="00DD45B5" w:rsidRPr="00B45B9D">
        <w:rPr>
          <w:sz w:val="24"/>
          <w:lang w:val="en-CA"/>
        </w:rPr>
        <w:t xml:space="preserve"> both</w:t>
      </w:r>
      <w:r w:rsidR="007F4421" w:rsidRPr="00B45B9D">
        <w:rPr>
          <w:sz w:val="24"/>
          <w:lang w:val="en-CA"/>
        </w:rPr>
        <w:t xml:space="preserve"> </w:t>
      </w:r>
      <w:r w:rsidR="007A5839" w:rsidRPr="00B45B9D">
        <w:rPr>
          <w:sz w:val="24"/>
          <w:lang w:val="en-CA"/>
        </w:rPr>
        <w:t>the</w:t>
      </w:r>
      <w:r w:rsidR="007F4421" w:rsidRPr="00B45B9D">
        <w:rPr>
          <w:sz w:val="24"/>
          <w:lang w:val="en-CA"/>
        </w:rPr>
        <w:t xml:space="preserve"> accused in the federal system and those accused in state systems the right to a jury verdict,</w:t>
      </w:r>
      <w:r w:rsidR="00EA5343" w:rsidRPr="00B45B9D">
        <w:rPr>
          <w:sz w:val="24"/>
          <w:lang w:val="en-CA"/>
        </w:rPr>
        <w:t xml:space="preserve"> but extended the right to a unanimous jury verdict only to those within the federal system</w:t>
      </w:r>
      <w:r w:rsidR="007A5839" w:rsidRPr="00B45B9D">
        <w:rPr>
          <w:sz w:val="24"/>
          <w:lang w:val="en-CA"/>
        </w:rPr>
        <w:t xml:space="preserve">. </w:t>
      </w:r>
      <w:r w:rsidR="00000D3A" w:rsidRPr="00B45B9D">
        <w:rPr>
          <w:sz w:val="24"/>
          <w:lang w:val="en-CA"/>
        </w:rPr>
        <w:t>His</w:t>
      </w:r>
      <w:r w:rsidR="007A5839" w:rsidRPr="00B45B9D">
        <w:rPr>
          <w:sz w:val="24"/>
          <w:lang w:val="en-CA"/>
        </w:rPr>
        <w:t xml:space="preserve"> single vote</w:t>
      </w:r>
      <w:r w:rsidR="00000D3A" w:rsidRPr="00B45B9D">
        <w:rPr>
          <w:sz w:val="24"/>
          <w:lang w:val="en-CA"/>
        </w:rPr>
        <w:t>, unusually,</w:t>
      </w:r>
      <w:r w:rsidR="007A5839" w:rsidRPr="00B45B9D">
        <w:rPr>
          <w:sz w:val="24"/>
          <w:lang w:val="en-CA"/>
        </w:rPr>
        <w:t xml:space="preserve"> had the effect of holding that the Fourteenth Amendment</w:t>
      </w:r>
      <w:r w:rsidR="004E1B12" w:rsidRPr="00B45B9D">
        <w:rPr>
          <w:sz w:val="24"/>
          <w:lang w:val="en-CA"/>
        </w:rPr>
        <w:t xml:space="preserve"> </w:t>
      </w:r>
      <w:r w:rsidR="00741C2B" w:rsidRPr="00B45B9D">
        <w:rPr>
          <w:sz w:val="24"/>
          <w:lang w:val="en-CA"/>
        </w:rPr>
        <w:t>only partially</w:t>
      </w:r>
      <w:r w:rsidR="007A5839" w:rsidRPr="00B45B9D">
        <w:rPr>
          <w:sz w:val="24"/>
          <w:lang w:val="en-CA"/>
        </w:rPr>
        <w:t xml:space="preserve"> incorporated the</w:t>
      </w:r>
      <w:r w:rsidR="004E1B12" w:rsidRPr="00B45B9D">
        <w:rPr>
          <w:sz w:val="24"/>
          <w:lang w:val="en-CA"/>
        </w:rPr>
        <w:t xml:space="preserve"> Sixth </w:t>
      </w:r>
      <w:r w:rsidR="004E1B12" w:rsidRPr="00B45B9D">
        <w:rPr>
          <w:sz w:val="24"/>
          <w:lang w:val="en-CA"/>
        </w:rPr>
        <w:lastRenderedPageBreak/>
        <w:t xml:space="preserve">Amendment </w:t>
      </w:r>
      <w:r w:rsidR="007A5839" w:rsidRPr="00B45B9D">
        <w:rPr>
          <w:sz w:val="24"/>
          <w:lang w:val="en-CA"/>
        </w:rPr>
        <w:t>right to a jur</w:t>
      </w:r>
      <w:r w:rsidR="007D1275" w:rsidRPr="00B45B9D">
        <w:rPr>
          <w:sz w:val="24"/>
          <w:lang w:val="en-CA"/>
        </w:rPr>
        <w:t xml:space="preserve">y </w:t>
      </w:r>
      <w:r w:rsidR="00741C2B" w:rsidRPr="00B45B9D">
        <w:rPr>
          <w:sz w:val="24"/>
          <w:lang w:val="en-CA"/>
        </w:rPr>
        <w:t>against the states</w:t>
      </w:r>
      <w:r w:rsidR="007A5839" w:rsidRPr="00B45B9D">
        <w:rPr>
          <w:sz w:val="24"/>
          <w:lang w:val="en-CA"/>
        </w:rPr>
        <w:t>.</w:t>
      </w:r>
      <w:r w:rsidR="00206A8B">
        <w:rPr>
          <w:sz w:val="24"/>
          <w:lang w:val="en-CA"/>
        </w:rPr>
        <w:t xml:space="preserve"> A holding by a single justice carries little precendential weight, and</w:t>
      </w:r>
      <w:r w:rsidR="00B522A1">
        <w:rPr>
          <w:sz w:val="24"/>
          <w:lang w:val="en-CA"/>
        </w:rPr>
        <w:t xml:space="preserve"> more recent case law suggests that the current U.S. Supreme Court is unlikely to give it</w:t>
      </w:r>
      <w:r w:rsidR="000B5538">
        <w:rPr>
          <w:sz w:val="24"/>
          <w:lang w:val="en-CA"/>
        </w:rPr>
        <w:t xml:space="preserve"> much.</w:t>
      </w:r>
    </w:p>
    <w:p w14:paraId="5D5DFF01" w14:textId="0928D95D" w:rsidR="001D3814" w:rsidRPr="00B45B9D" w:rsidRDefault="009251D3" w:rsidP="001D3814">
      <w:pPr>
        <w:spacing w:line="480" w:lineRule="auto"/>
        <w:ind w:firstLine="720"/>
        <w:jc w:val="both"/>
        <w:rPr>
          <w:i/>
          <w:sz w:val="24"/>
          <w:lang w:val="en-CA"/>
        </w:rPr>
      </w:pPr>
      <w:r w:rsidRPr="00B45B9D">
        <w:rPr>
          <w:sz w:val="24"/>
          <w:lang w:val="en-CA"/>
        </w:rPr>
        <w:t>As detailed below, recent</w:t>
      </w:r>
      <w:r w:rsidR="00996F82" w:rsidRPr="00B45B9D">
        <w:rPr>
          <w:sz w:val="24"/>
          <w:lang w:val="en-CA"/>
        </w:rPr>
        <w:t xml:space="preserve"> Supreme Court jurisprudence supports full incorporation of the Bill of Rights against the states</w:t>
      </w:r>
      <w:r w:rsidR="00F74495" w:rsidRPr="00B45B9D">
        <w:rPr>
          <w:sz w:val="24"/>
          <w:lang w:val="en-CA"/>
        </w:rPr>
        <w:t xml:space="preserve">, and indicates that the United States Supreme Court is </w:t>
      </w:r>
      <w:r w:rsidR="001933A7" w:rsidRPr="00B45B9D">
        <w:rPr>
          <w:sz w:val="24"/>
          <w:lang w:val="en-CA"/>
        </w:rPr>
        <w:t>likely</w:t>
      </w:r>
      <w:r w:rsidR="00F74495" w:rsidRPr="00B45B9D">
        <w:rPr>
          <w:sz w:val="24"/>
          <w:lang w:val="en-CA"/>
        </w:rPr>
        <w:t xml:space="preserve"> to find </w:t>
      </w:r>
      <w:r w:rsidR="001933A7" w:rsidRPr="00B45B9D">
        <w:rPr>
          <w:sz w:val="24"/>
          <w:lang w:val="en-CA"/>
        </w:rPr>
        <w:t>the</w:t>
      </w:r>
      <w:r w:rsidR="00F74495" w:rsidRPr="00B45B9D">
        <w:rPr>
          <w:sz w:val="24"/>
          <w:lang w:val="en-CA"/>
        </w:rPr>
        <w:t xml:space="preserve"> right to a unanimous jury to be </w:t>
      </w:r>
      <w:r w:rsidR="001933A7" w:rsidRPr="00B45B9D">
        <w:rPr>
          <w:sz w:val="24"/>
          <w:lang w:val="en-CA"/>
        </w:rPr>
        <w:t>fully incorporated in</w:t>
      </w:r>
      <w:r w:rsidR="00A3681C" w:rsidRPr="00B45B9D">
        <w:rPr>
          <w:sz w:val="24"/>
          <w:lang w:val="en-CA"/>
        </w:rPr>
        <w:t xml:space="preserve"> </w:t>
      </w:r>
      <w:r w:rsidR="00A3681C" w:rsidRPr="00B45B9D">
        <w:rPr>
          <w:i/>
          <w:sz w:val="24"/>
          <w:lang w:val="en-CA"/>
        </w:rPr>
        <w:t>Ramos v. Louisiana</w:t>
      </w:r>
      <w:r w:rsidR="00A3681C" w:rsidRPr="00B45B9D">
        <w:rPr>
          <w:i/>
          <w:iCs/>
          <w:sz w:val="24"/>
        </w:rPr>
        <w:t xml:space="preserve">, ___ </w:t>
      </w:r>
      <w:r w:rsidR="00A3681C" w:rsidRPr="00B45B9D">
        <w:rPr>
          <w:sz w:val="24"/>
        </w:rPr>
        <w:t>U.S ___ (20__)</w:t>
      </w:r>
      <w:r w:rsidR="00736ED8" w:rsidRPr="00B45B9D">
        <w:rPr>
          <w:lang w:val="en-CA"/>
        </w:rPr>
        <w:t>.</w:t>
      </w:r>
      <w:r w:rsidR="00996F82" w:rsidRPr="00B45B9D">
        <w:rPr>
          <w:sz w:val="24"/>
          <w:lang w:val="en-CA"/>
        </w:rPr>
        <w:t xml:space="preserve"> Additionally, </w:t>
      </w:r>
      <w:r w:rsidR="00CA7AF2" w:rsidRPr="00B45B9D">
        <w:rPr>
          <w:sz w:val="24"/>
          <w:lang w:val="en-CA"/>
        </w:rPr>
        <w:t>La. Const. art. I § 17 and La. C.Cr.P. art. 782</w:t>
      </w:r>
      <w:r w:rsidR="00996F82" w:rsidRPr="00B45B9D">
        <w:rPr>
          <w:sz w:val="24"/>
          <w:lang w:val="en-CA"/>
        </w:rPr>
        <w:t xml:space="preserve"> </w:t>
      </w:r>
      <w:r w:rsidR="00CA7AF2" w:rsidRPr="00B45B9D">
        <w:rPr>
          <w:sz w:val="24"/>
          <w:lang w:val="en-CA"/>
        </w:rPr>
        <w:t>have</w:t>
      </w:r>
      <w:r w:rsidR="00996F82" w:rsidRPr="00B45B9D">
        <w:rPr>
          <w:sz w:val="24"/>
          <w:lang w:val="en-CA"/>
        </w:rPr>
        <w:t xml:space="preserve"> already been held unconstitutional</w:t>
      </w:r>
      <w:r w:rsidR="00E6559F" w:rsidRPr="00B45B9D">
        <w:rPr>
          <w:sz w:val="24"/>
          <w:lang w:val="en-CA"/>
        </w:rPr>
        <w:t xml:space="preserve"> </w:t>
      </w:r>
      <w:r w:rsidR="00000D3A" w:rsidRPr="00B45B9D">
        <w:rPr>
          <w:sz w:val="24"/>
          <w:lang w:val="en-CA"/>
        </w:rPr>
        <w:t>under the Equal Protection C</w:t>
      </w:r>
      <w:r w:rsidR="009A5A6F" w:rsidRPr="00B45B9D">
        <w:rPr>
          <w:sz w:val="24"/>
          <w:lang w:val="en-CA"/>
        </w:rPr>
        <w:t xml:space="preserve">lause of the Fourteenth Amendment </w:t>
      </w:r>
      <w:r w:rsidR="00996F82" w:rsidRPr="00B45B9D">
        <w:rPr>
          <w:sz w:val="24"/>
          <w:lang w:val="en-CA"/>
        </w:rPr>
        <w:t>by</w:t>
      </w:r>
      <w:r w:rsidR="002C7BFB" w:rsidRPr="00B45B9D">
        <w:rPr>
          <w:sz w:val="24"/>
          <w:lang w:val="en-CA"/>
        </w:rPr>
        <w:t xml:space="preserve"> a</w:t>
      </w:r>
      <w:r w:rsidR="00741C2B" w:rsidRPr="00B45B9D">
        <w:rPr>
          <w:sz w:val="24"/>
          <w:lang w:val="en-CA"/>
        </w:rPr>
        <w:t xml:space="preserve"> </w:t>
      </w:r>
      <w:r w:rsidR="00996F82" w:rsidRPr="00B45B9D">
        <w:rPr>
          <w:sz w:val="24"/>
          <w:lang w:val="en-CA"/>
        </w:rPr>
        <w:t>Louisiana court because of the</w:t>
      </w:r>
      <w:r w:rsidR="00A11F32" w:rsidRPr="00B45B9D">
        <w:rPr>
          <w:sz w:val="24"/>
          <w:lang w:val="en-CA"/>
        </w:rPr>
        <w:t>ir</w:t>
      </w:r>
      <w:r w:rsidR="00996F82" w:rsidRPr="00B45B9D">
        <w:rPr>
          <w:sz w:val="24"/>
          <w:lang w:val="en-CA"/>
        </w:rPr>
        <w:t xml:space="preserve"> racially discriminatory </w:t>
      </w:r>
      <w:r w:rsidR="00A11F32" w:rsidRPr="00B45B9D">
        <w:rPr>
          <w:sz w:val="24"/>
          <w:lang w:val="en-CA"/>
        </w:rPr>
        <w:t xml:space="preserve">origins </w:t>
      </w:r>
      <w:r w:rsidR="00996F82" w:rsidRPr="00B45B9D">
        <w:rPr>
          <w:sz w:val="24"/>
          <w:lang w:val="en-CA"/>
        </w:rPr>
        <w:t xml:space="preserve">and </w:t>
      </w:r>
      <w:r w:rsidR="00741C2B" w:rsidRPr="00B45B9D">
        <w:rPr>
          <w:sz w:val="24"/>
          <w:lang w:val="en-CA"/>
        </w:rPr>
        <w:t xml:space="preserve">the continued </w:t>
      </w:r>
      <w:r w:rsidR="00996F82" w:rsidRPr="00B45B9D">
        <w:rPr>
          <w:sz w:val="24"/>
          <w:lang w:val="en-CA"/>
        </w:rPr>
        <w:t xml:space="preserve">racially disparate impact that the practice incurs. </w:t>
      </w:r>
      <w:r w:rsidR="00996F82" w:rsidRPr="00B45B9D">
        <w:rPr>
          <w:i/>
          <w:sz w:val="24"/>
          <w:lang w:val="en-CA"/>
        </w:rPr>
        <w:t>See State v. Maxie</w:t>
      </w:r>
      <w:r w:rsidR="00996F82" w:rsidRPr="00B45B9D">
        <w:rPr>
          <w:sz w:val="24"/>
          <w:lang w:val="en-CA"/>
        </w:rPr>
        <w:t xml:space="preserve">, 72,522 (La. 11th JDC 10/11/18). </w:t>
      </w:r>
      <w:r w:rsidR="00BC5F3D">
        <w:rPr>
          <w:sz w:val="24"/>
          <w:lang w:val="en-CA"/>
        </w:rPr>
        <w:t>Not only would proceeding without a finding that</w:t>
      </w:r>
      <w:r w:rsidR="002C153B" w:rsidRPr="002C153B">
        <w:rPr>
          <w:sz w:val="24"/>
          <w:lang w:val="en-CA"/>
        </w:rPr>
        <w:t xml:space="preserve"> </w:t>
      </w:r>
      <w:r w:rsidR="002C153B" w:rsidRPr="00B45B9D">
        <w:rPr>
          <w:sz w:val="24"/>
          <w:lang w:val="en-CA"/>
        </w:rPr>
        <w:t>La. Const. art. I § 17 and La. C.Cr.P. art. 782</w:t>
      </w:r>
      <w:r w:rsidR="002C153B">
        <w:rPr>
          <w:sz w:val="24"/>
          <w:lang w:val="en-CA"/>
        </w:rPr>
        <w:t xml:space="preserve"> violate [</w:t>
      </w:r>
      <w:r w:rsidR="002C153B" w:rsidRPr="000726DA">
        <w:rPr>
          <w:sz w:val="24"/>
          <w:highlight w:val="yellow"/>
          <w:lang w:val="en-CA"/>
        </w:rPr>
        <w:t>NAME OF CLIENT</w:t>
      </w:r>
      <w:r w:rsidR="002C153B">
        <w:rPr>
          <w:sz w:val="24"/>
          <w:lang w:val="en-CA"/>
        </w:rPr>
        <w:t xml:space="preserve">]’s right to a jury, but also </w:t>
      </w:r>
      <w:r w:rsidR="002C153B" w:rsidRPr="002C153B">
        <w:rPr>
          <w:sz w:val="24"/>
          <w:highlight w:val="yellow"/>
          <w:lang w:val="en-CA"/>
        </w:rPr>
        <w:t>his</w:t>
      </w:r>
      <w:r w:rsidR="002C153B">
        <w:rPr>
          <w:sz w:val="24"/>
          <w:lang w:val="en-CA"/>
        </w:rPr>
        <w:t xml:space="preserve"> right to equal protection </w:t>
      </w:r>
      <w:r w:rsidR="00C805A9">
        <w:rPr>
          <w:sz w:val="24"/>
          <w:lang w:val="en-CA"/>
        </w:rPr>
        <w:t>of</w:t>
      </w:r>
      <w:r w:rsidR="002C153B">
        <w:rPr>
          <w:sz w:val="24"/>
          <w:lang w:val="en-CA"/>
        </w:rPr>
        <w:t xml:space="preserve"> law. </w:t>
      </w:r>
      <w:r w:rsidR="00BC5F3D">
        <w:rPr>
          <w:sz w:val="24"/>
          <w:lang w:val="en-CA"/>
        </w:rPr>
        <w:t xml:space="preserve"> </w:t>
      </w:r>
      <w:r w:rsidR="00996F82" w:rsidRPr="00B45B9D">
        <w:rPr>
          <w:sz w:val="24"/>
          <w:lang w:val="en-CA"/>
        </w:rPr>
        <w:t xml:space="preserve">Therefore, </w:t>
      </w:r>
      <w:r w:rsidR="0030444C">
        <w:rPr>
          <w:sz w:val="24"/>
          <w:lang w:val="en-CA"/>
        </w:rPr>
        <w:t>[</w:t>
      </w:r>
      <w:r w:rsidR="0030444C" w:rsidRPr="000726DA">
        <w:rPr>
          <w:sz w:val="24"/>
          <w:highlight w:val="yellow"/>
          <w:lang w:val="en-CA"/>
        </w:rPr>
        <w:t>NAME OF CLIENT</w:t>
      </w:r>
      <w:r w:rsidR="0030444C">
        <w:rPr>
          <w:sz w:val="24"/>
          <w:lang w:val="en-CA"/>
        </w:rPr>
        <w:t>]</w:t>
      </w:r>
      <w:r w:rsidR="00996F82" w:rsidRPr="00B45B9D">
        <w:rPr>
          <w:sz w:val="24"/>
          <w:lang w:val="en-CA"/>
        </w:rPr>
        <w:t xml:space="preserve"> </w:t>
      </w:r>
      <w:r w:rsidR="004E6C90" w:rsidRPr="00B45B9D">
        <w:rPr>
          <w:sz w:val="24"/>
          <w:lang w:val="en-CA"/>
        </w:rPr>
        <w:t>moves</w:t>
      </w:r>
      <w:r w:rsidR="00996F82" w:rsidRPr="00B45B9D">
        <w:rPr>
          <w:sz w:val="24"/>
          <w:lang w:val="en-CA"/>
        </w:rPr>
        <w:t xml:space="preserve"> this court to require a unanimous jury verdict</w:t>
      </w:r>
      <w:r w:rsidR="001732E0" w:rsidRPr="00B45B9D">
        <w:rPr>
          <w:sz w:val="24"/>
          <w:lang w:val="en-CA"/>
        </w:rPr>
        <w:t xml:space="preserve"> at trial</w:t>
      </w:r>
      <w:r w:rsidR="00996F82" w:rsidRPr="00B45B9D">
        <w:rPr>
          <w:sz w:val="24"/>
          <w:lang w:val="en-CA"/>
        </w:rPr>
        <w:t xml:space="preserve">, or, in the alternative, stay all proceedings </w:t>
      </w:r>
      <w:r w:rsidR="00000D3A" w:rsidRPr="00B45B9D">
        <w:rPr>
          <w:sz w:val="24"/>
          <w:lang w:val="en-CA"/>
        </w:rPr>
        <w:t xml:space="preserve">in his case </w:t>
      </w:r>
      <w:r w:rsidR="00996F82" w:rsidRPr="00B45B9D">
        <w:rPr>
          <w:sz w:val="24"/>
          <w:lang w:val="en-CA"/>
        </w:rPr>
        <w:t xml:space="preserve">while the Supreme Court decides </w:t>
      </w:r>
      <w:r w:rsidR="00996F82" w:rsidRPr="00B45B9D">
        <w:rPr>
          <w:i/>
          <w:sz w:val="24"/>
          <w:lang w:val="en-CA"/>
        </w:rPr>
        <w:t>Ramos v. Louisiana</w:t>
      </w:r>
      <w:r w:rsidR="00000D3A" w:rsidRPr="00B45B9D">
        <w:rPr>
          <w:i/>
          <w:sz w:val="24"/>
          <w:lang w:val="en-CA"/>
        </w:rPr>
        <w:t>.</w:t>
      </w:r>
      <w:r w:rsidR="00741995" w:rsidRPr="00B45B9D">
        <w:rPr>
          <w:i/>
          <w:sz w:val="24"/>
          <w:lang w:val="en-CA"/>
        </w:rPr>
        <w:t xml:space="preserve"> Id</w:t>
      </w:r>
      <w:r w:rsidR="00996F82" w:rsidRPr="00B45B9D">
        <w:rPr>
          <w:i/>
          <w:sz w:val="24"/>
          <w:lang w:val="en-CA"/>
        </w:rPr>
        <w:t>.</w:t>
      </w:r>
    </w:p>
    <w:p w14:paraId="46263263" w14:textId="77777777" w:rsidR="001D3814" w:rsidRPr="00B45B9D" w:rsidRDefault="001D3814" w:rsidP="001D3814">
      <w:pPr>
        <w:jc w:val="center"/>
        <w:rPr>
          <w:b/>
          <w:sz w:val="24"/>
        </w:rPr>
      </w:pPr>
    </w:p>
    <w:p w14:paraId="5F64FF74" w14:textId="70F6C666" w:rsidR="00F47632" w:rsidRPr="00B45B9D" w:rsidRDefault="001D3814" w:rsidP="001D3814">
      <w:pPr>
        <w:jc w:val="center"/>
        <w:rPr>
          <w:b/>
          <w:sz w:val="24"/>
        </w:rPr>
      </w:pPr>
      <w:r w:rsidRPr="00B45B9D">
        <w:rPr>
          <w:b/>
          <w:sz w:val="24"/>
        </w:rPr>
        <w:t>LAW AND ARGUMENT</w:t>
      </w:r>
    </w:p>
    <w:p w14:paraId="3FE8B2F1" w14:textId="77777777" w:rsidR="001D3814" w:rsidRPr="00B45B9D" w:rsidRDefault="001D3814" w:rsidP="00B06A33">
      <w:pPr>
        <w:rPr>
          <w:b/>
          <w:sz w:val="24"/>
        </w:rPr>
      </w:pPr>
    </w:p>
    <w:p w14:paraId="5E5738D8" w14:textId="109506B5" w:rsidR="007B45C6" w:rsidRPr="00B45B9D" w:rsidRDefault="007B45C6" w:rsidP="00B45B9D">
      <w:pPr>
        <w:pStyle w:val="ListParagraph"/>
        <w:numPr>
          <w:ilvl w:val="0"/>
          <w:numId w:val="22"/>
        </w:numPr>
        <w:jc w:val="both"/>
        <w:rPr>
          <w:b/>
          <w:sz w:val="24"/>
        </w:rPr>
      </w:pPr>
      <w:r w:rsidRPr="00B45B9D">
        <w:rPr>
          <w:b/>
          <w:sz w:val="24"/>
        </w:rPr>
        <w:t xml:space="preserve">The U.S. Supreme Court Has Granted Certiorari To Determine Whether The Sixth Amendment Is Fully Incorporated Against The States, </w:t>
      </w:r>
      <w:r w:rsidR="00652602" w:rsidRPr="00B45B9D">
        <w:rPr>
          <w:b/>
          <w:sz w:val="24"/>
        </w:rPr>
        <w:t xml:space="preserve">Indicating They Are Likely To Reverse The Current Precedent Of </w:t>
      </w:r>
      <w:r w:rsidR="00652602" w:rsidRPr="00B45B9D">
        <w:rPr>
          <w:b/>
          <w:i/>
          <w:sz w:val="24"/>
        </w:rPr>
        <w:t>Apodaca</w:t>
      </w:r>
      <w:r w:rsidR="00652602" w:rsidRPr="00B45B9D">
        <w:rPr>
          <w:b/>
          <w:sz w:val="24"/>
        </w:rPr>
        <w:t>.</w:t>
      </w:r>
    </w:p>
    <w:p w14:paraId="50056FDB" w14:textId="2A7179B7" w:rsidR="00175D1E" w:rsidRPr="00B45B9D" w:rsidRDefault="007B45C6" w:rsidP="007B45C6">
      <w:pPr>
        <w:pStyle w:val="ListParagraph"/>
        <w:rPr>
          <w:b/>
          <w:sz w:val="24"/>
        </w:rPr>
      </w:pPr>
      <w:r w:rsidRPr="00B45B9D">
        <w:rPr>
          <w:b/>
          <w:sz w:val="24"/>
        </w:rPr>
        <w:t xml:space="preserve"> </w:t>
      </w:r>
    </w:p>
    <w:p w14:paraId="2BB1A90F" w14:textId="53F4E33E" w:rsidR="003C70EA" w:rsidRPr="00B45B9D" w:rsidRDefault="00EF3355" w:rsidP="003C70EA">
      <w:pPr>
        <w:spacing w:line="480" w:lineRule="auto"/>
        <w:ind w:firstLine="720"/>
        <w:jc w:val="both"/>
        <w:rPr>
          <w:sz w:val="24"/>
        </w:rPr>
      </w:pPr>
      <w:r w:rsidRPr="00B45B9D">
        <w:rPr>
          <w:sz w:val="24"/>
        </w:rPr>
        <w:t>The U</w:t>
      </w:r>
      <w:r w:rsidR="00F56F45" w:rsidRPr="00B45B9D">
        <w:rPr>
          <w:sz w:val="24"/>
        </w:rPr>
        <w:t>.</w:t>
      </w:r>
      <w:r w:rsidRPr="00B45B9D">
        <w:rPr>
          <w:sz w:val="24"/>
        </w:rPr>
        <w:t>S</w:t>
      </w:r>
      <w:r w:rsidR="00F56F45" w:rsidRPr="00B45B9D">
        <w:rPr>
          <w:sz w:val="24"/>
        </w:rPr>
        <w:t>.</w:t>
      </w:r>
      <w:r w:rsidRPr="00B45B9D">
        <w:rPr>
          <w:sz w:val="24"/>
        </w:rPr>
        <w:t xml:space="preserve"> Supreme Court has </w:t>
      </w:r>
      <w:r w:rsidR="00175D1E" w:rsidRPr="00B45B9D">
        <w:rPr>
          <w:sz w:val="24"/>
        </w:rPr>
        <w:t xml:space="preserve">upheld the constitutionality of non-unanimous jury verdicts under the authority of </w:t>
      </w:r>
      <w:r w:rsidR="00175D1E" w:rsidRPr="00B45B9D">
        <w:rPr>
          <w:i/>
          <w:sz w:val="24"/>
        </w:rPr>
        <w:t>Apodaca v. Oregon</w:t>
      </w:r>
      <w:r w:rsidR="00175D1E" w:rsidRPr="00B45B9D">
        <w:rPr>
          <w:sz w:val="24"/>
        </w:rPr>
        <w:t xml:space="preserve">, a decision in which a fractured </w:t>
      </w:r>
      <w:r w:rsidR="0092697A" w:rsidRPr="00B45B9D">
        <w:rPr>
          <w:sz w:val="24"/>
        </w:rPr>
        <w:t xml:space="preserve">court established the rule </w:t>
      </w:r>
      <w:r w:rsidR="00F56F45" w:rsidRPr="00B45B9D">
        <w:rPr>
          <w:sz w:val="24"/>
        </w:rPr>
        <w:t xml:space="preserve">that </w:t>
      </w:r>
      <w:r w:rsidR="0092697A" w:rsidRPr="00B45B9D">
        <w:rPr>
          <w:sz w:val="24"/>
        </w:rPr>
        <w:t xml:space="preserve">the Sixth Amendment requires unanimity, but is </w:t>
      </w:r>
      <w:r w:rsidR="00967100" w:rsidRPr="00B45B9D">
        <w:rPr>
          <w:sz w:val="24"/>
        </w:rPr>
        <w:t>only partially incorporated against the states</w:t>
      </w:r>
      <w:r w:rsidR="0092697A" w:rsidRPr="00B45B9D">
        <w:rPr>
          <w:sz w:val="24"/>
        </w:rPr>
        <w:t xml:space="preserve"> and therefore allows non-unanimous state criminal convictions</w:t>
      </w:r>
      <w:r w:rsidR="00175D1E" w:rsidRPr="00B45B9D">
        <w:rPr>
          <w:sz w:val="24"/>
        </w:rPr>
        <w:t>.</w:t>
      </w:r>
      <w:r w:rsidR="00742D4E" w:rsidRPr="00B45B9D">
        <w:rPr>
          <w:i/>
        </w:rPr>
        <w:t xml:space="preserve"> </w:t>
      </w:r>
      <w:r w:rsidR="00F56F45" w:rsidRPr="00B45B9D">
        <w:rPr>
          <w:iCs/>
          <w:sz w:val="24"/>
        </w:rPr>
        <w:t>406 U.S. 404</w:t>
      </w:r>
      <w:r w:rsidR="00742D4E" w:rsidRPr="00B45B9D">
        <w:rPr>
          <w:sz w:val="24"/>
        </w:rPr>
        <w:t>.</w:t>
      </w:r>
      <w:r w:rsidR="00175D1E" w:rsidRPr="00B45B9D">
        <w:rPr>
          <w:sz w:val="24"/>
        </w:rPr>
        <w:t xml:space="preserve"> </w:t>
      </w:r>
      <w:r w:rsidR="0014795B" w:rsidRPr="00B45B9D">
        <w:rPr>
          <w:sz w:val="24"/>
        </w:rPr>
        <w:t>If the U</w:t>
      </w:r>
      <w:r w:rsidR="00F56F45" w:rsidRPr="00B45B9D">
        <w:rPr>
          <w:sz w:val="24"/>
        </w:rPr>
        <w:t>.</w:t>
      </w:r>
      <w:r w:rsidR="0014795B" w:rsidRPr="00B45B9D">
        <w:rPr>
          <w:sz w:val="24"/>
        </w:rPr>
        <w:t>S</w:t>
      </w:r>
      <w:r w:rsidR="00F56F45" w:rsidRPr="00B45B9D">
        <w:rPr>
          <w:sz w:val="24"/>
        </w:rPr>
        <w:t>.</w:t>
      </w:r>
      <w:r w:rsidR="0014795B" w:rsidRPr="00B45B9D">
        <w:rPr>
          <w:sz w:val="24"/>
        </w:rPr>
        <w:t xml:space="preserve"> </w:t>
      </w:r>
      <w:r w:rsidR="00F56F45" w:rsidRPr="00B45B9D">
        <w:rPr>
          <w:sz w:val="24"/>
        </w:rPr>
        <w:t>Supreme Court</w:t>
      </w:r>
      <w:r w:rsidR="0014795B" w:rsidRPr="00B45B9D">
        <w:rPr>
          <w:sz w:val="24"/>
        </w:rPr>
        <w:t xml:space="preserve"> </w:t>
      </w:r>
      <w:r w:rsidR="00F56F45" w:rsidRPr="00B45B9D">
        <w:rPr>
          <w:sz w:val="24"/>
        </w:rPr>
        <w:t xml:space="preserve">had no intention of revisiting this </w:t>
      </w:r>
      <w:r w:rsidR="0092697A" w:rsidRPr="00B45B9D">
        <w:rPr>
          <w:sz w:val="24"/>
        </w:rPr>
        <w:t>theory</w:t>
      </w:r>
      <w:r w:rsidR="00F56F45" w:rsidRPr="00B45B9D">
        <w:rPr>
          <w:sz w:val="24"/>
        </w:rPr>
        <w:t xml:space="preserve"> of partial incorporation, they would not have granted a petition for certiorari to consider the question. Instead, </w:t>
      </w:r>
      <w:r w:rsidR="0092697A" w:rsidRPr="00B45B9D">
        <w:rPr>
          <w:sz w:val="24"/>
        </w:rPr>
        <w:t>this</w:t>
      </w:r>
      <w:r w:rsidR="00F56F45" w:rsidRPr="00B45B9D">
        <w:rPr>
          <w:sz w:val="24"/>
        </w:rPr>
        <w:t xml:space="preserve"> </w:t>
      </w:r>
      <w:r w:rsidR="005F52A3" w:rsidRPr="00B45B9D">
        <w:rPr>
          <w:sz w:val="24"/>
        </w:rPr>
        <w:t xml:space="preserve">Supreme Court has clearly indicated their desire and intention to </w:t>
      </w:r>
      <w:r w:rsidR="00554A66" w:rsidRPr="00B45B9D">
        <w:rPr>
          <w:sz w:val="24"/>
        </w:rPr>
        <w:t>hold that</w:t>
      </w:r>
      <w:r w:rsidR="005F52A3" w:rsidRPr="00B45B9D">
        <w:rPr>
          <w:sz w:val="24"/>
        </w:rPr>
        <w:t xml:space="preserve"> </w:t>
      </w:r>
      <w:r w:rsidR="00FB4B14" w:rsidRPr="00B45B9D">
        <w:rPr>
          <w:sz w:val="24"/>
        </w:rPr>
        <w:t>the Bill of Rights is fully incorporated and effective against the states</w:t>
      </w:r>
      <w:r w:rsidR="0092697A" w:rsidRPr="00B45B9D">
        <w:rPr>
          <w:sz w:val="24"/>
        </w:rPr>
        <w:t xml:space="preserve"> through other recent cases. </w:t>
      </w:r>
    </w:p>
    <w:p w14:paraId="1CA08D3E" w14:textId="18CFEA1C" w:rsidR="005F52A3" w:rsidRPr="00B45B9D" w:rsidRDefault="005F52A3" w:rsidP="003C70EA">
      <w:pPr>
        <w:spacing w:line="480" w:lineRule="auto"/>
        <w:ind w:firstLine="720"/>
        <w:jc w:val="both"/>
        <w:rPr>
          <w:sz w:val="24"/>
        </w:rPr>
      </w:pPr>
      <w:r w:rsidRPr="00B45B9D">
        <w:rPr>
          <w:sz w:val="24"/>
        </w:rPr>
        <w:t xml:space="preserve">Only last term, in the oral argument of </w:t>
      </w:r>
      <w:r w:rsidRPr="00B45B9D">
        <w:rPr>
          <w:i/>
          <w:sz w:val="24"/>
        </w:rPr>
        <w:t>Timbs v. Indiana</w:t>
      </w:r>
      <w:r w:rsidRPr="00B45B9D">
        <w:rPr>
          <w:sz w:val="24"/>
        </w:rPr>
        <w:t>, a case in which the Indiana Attorney General argued against the full incorporation of the Eighth Amendment’s Excessive Fines Clause against the states,</w:t>
      </w:r>
      <w:r w:rsidR="003C70EA" w:rsidRPr="00B45B9D">
        <w:rPr>
          <w:sz w:val="24"/>
        </w:rPr>
        <w:t xml:space="preserve"> </w:t>
      </w:r>
      <w:r w:rsidR="004E6C90" w:rsidRPr="00B45B9D">
        <w:rPr>
          <w:sz w:val="24"/>
        </w:rPr>
        <w:t xml:space="preserve">several justices, in particular Justices Gorsuch </w:t>
      </w:r>
      <w:r w:rsidR="004E6C90" w:rsidRPr="00B45B9D">
        <w:rPr>
          <w:sz w:val="24"/>
        </w:rPr>
        <w:lastRenderedPageBreak/>
        <w:t>and Kavanaugh,</w:t>
      </w:r>
      <w:r w:rsidRPr="00B45B9D">
        <w:rPr>
          <w:sz w:val="24"/>
        </w:rPr>
        <w:t xml:space="preserve"> expressed extreme skepticism for the proposition</w:t>
      </w:r>
      <w:r w:rsidR="00F56F45" w:rsidRPr="00B45B9D">
        <w:rPr>
          <w:sz w:val="24"/>
        </w:rPr>
        <w:t xml:space="preserve"> that some Amendments may </w:t>
      </w:r>
      <w:r w:rsidR="00CB7F1E" w:rsidRPr="00B45B9D">
        <w:rPr>
          <w:sz w:val="24"/>
        </w:rPr>
        <w:t>only be partially incorporated.</w:t>
      </w:r>
      <w:r w:rsidRPr="00B45B9D">
        <w:rPr>
          <w:rStyle w:val="FootnoteReference"/>
          <w:sz w:val="24"/>
        </w:rPr>
        <w:footnoteReference w:id="3"/>
      </w:r>
      <w:r w:rsidR="003C70EA" w:rsidRPr="00B45B9D">
        <w:rPr>
          <w:sz w:val="24"/>
        </w:rPr>
        <w:t xml:space="preserve"> </w:t>
      </w:r>
      <w:r w:rsidR="00DA742E" w:rsidRPr="00B45B9D">
        <w:rPr>
          <w:sz w:val="24"/>
        </w:rPr>
        <w:t>Furthermore, in</w:t>
      </w:r>
      <w:r w:rsidR="00FB4B14" w:rsidRPr="00B45B9D">
        <w:rPr>
          <w:sz w:val="24"/>
        </w:rPr>
        <w:t xml:space="preserve"> the Court’s ruling on that case, Justice Ginsburg writing for the Court specifically drew attention to the “sole” outlier status of the non-unanimous state felony jury verdict within the jurisprudence of incorporation</w:t>
      </w:r>
      <w:r w:rsidR="0061370F" w:rsidRPr="00B45B9D">
        <w:rPr>
          <w:sz w:val="24"/>
        </w:rPr>
        <w:t xml:space="preserve"> </w:t>
      </w:r>
      <w:r w:rsidR="003C70EA" w:rsidRPr="00B45B9D">
        <w:rPr>
          <w:sz w:val="24"/>
        </w:rPr>
        <w:t>which otherwise permits</w:t>
      </w:r>
      <w:r w:rsidR="0061370F" w:rsidRPr="00B45B9D">
        <w:rPr>
          <w:sz w:val="24"/>
        </w:rPr>
        <w:t xml:space="preserve"> “no daylight between the federal and state conduct it prohibits or requires</w:t>
      </w:r>
      <w:r w:rsidR="00FB4B14" w:rsidRPr="00B45B9D">
        <w:rPr>
          <w:sz w:val="24"/>
        </w:rPr>
        <w:t>.</w:t>
      </w:r>
      <w:r w:rsidR="0061370F" w:rsidRPr="00B45B9D">
        <w:rPr>
          <w:sz w:val="24"/>
        </w:rPr>
        <w:t>”</w:t>
      </w:r>
      <w:r w:rsidR="00742D4E" w:rsidRPr="00B45B9D">
        <w:t xml:space="preserve"> </w:t>
      </w:r>
      <w:r w:rsidR="0061370F" w:rsidRPr="00B45B9D">
        <w:rPr>
          <w:i/>
          <w:sz w:val="24"/>
        </w:rPr>
        <w:t>Timbs v. Indiana</w:t>
      </w:r>
      <w:r w:rsidR="0061370F" w:rsidRPr="00B45B9D">
        <w:rPr>
          <w:sz w:val="24"/>
        </w:rPr>
        <w:t>, 139 S. Ct. 682, 687, 203 L. Ed. 2d 11</w:t>
      </w:r>
      <w:r w:rsidR="00742D4E" w:rsidRPr="00B45B9D">
        <w:rPr>
          <w:sz w:val="24"/>
        </w:rPr>
        <w:t xml:space="preserve"> (2019).</w:t>
      </w:r>
      <w:r w:rsidR="00FB4B14" w:rsidRPr="00B45B9D">
        <w:rPr>
          <w:sz w:val="24"/>
        </w:rPr>
        <w:t xml:space="preserve"> </w:t>
      </w:r>
      <w:r w:rsidR="00FB4B14" w:rsidRPr="00B45B9D">
        <w:rPr>
          <w:i/>
          <w:sz w:val="24"/>
        </w:rPr>
        <w:t>Apodaca</w:t>
      </w:r>
      <w:r w:rsidR="00FB4B14" w:rsidRPr="00B45B9D">
        <w:rPr>
          <w:sz w:val="24"/>
        </w:rPr>
        <w:t>’s holding that the Fourteenth Amendment</w:t>
      </w:r>
      <w:r w:rsidRPr="00B45B9D">
        <w:t xml:space="preserve"> </w:t>
      </w:r>
      <w:r w:rsidRPr="00B45B9D">
        <w:rPr>
          <w:sz w:val="24"/>
        </w:rPr>
        <w:t>“does not require that the States apply the federal jury</w:t>
      </w:r>
      <w:r w:rsidR="00FB4B14" w:rsidRPr="00B45B9D">
        <w:rPr>
          <w:sz w:val="24"/>
        </w:rPr>
        <w:t>-trial right with all its gloss</w:t>
      </w:r>
      <w:r w:rsidRPr="00B45B9D">
        <w:rPr>
          <w:sz w:val="24"/>
        </w:rPr>
        <w:t>”</w:t>
      </w:r>
      <w:r w:rsidR="00FB4B14" w:rsidRPr="00B45B9D">
        <w:rPr>
          <w:sz w:val="24"/>
        </w:rPr>
        <w:t xml:space="preserve"> is squarely in the sights of this pro-incorporation Court.</w:t>
      </w:r>
      <w:r w:rsidR="00742D4E" w:rsidRPr="00B45B9D">
        <w:rPr>
          <w:sz w:val="24"/>
        </w:rPr>
        <w:t xml:space="preserve"> 406 U.S. at 369-71 (Powell, J., concurring).</w:t>
      </w:r>
    </w:p>
    <w:p w14:paraId="428E70C7" w14:textId="360B1FD8" w:rsidR="003F73AE" w:rsidRPr="00B45B9D" w:rsidRDefault="009F7051" w:rsidP="00FB4B14">
      <w:pPr>
        <w:spacing w:line="480" w:lineRule="auto"/>
        <w:ind w:firstLine="720"/>
        <w:jc w:val="both"/>
        <w:rPr>
          <w:sz w:val="24"/>
        </w:rPr>
      </w:pPr>
      <w:r w:rsidRPr="00B45B9D">
        <w:rPr>
          <w:sz w:val="24"/>
        </w:rPr>
        <w:t>Even without these strong indications</w:t>
      </w:r>
      <w:r w:rsidR="00FE6E69" w:rsidRPr="00B45B9D">
        <w:rPr>
          <w:sz w:val="24"/>
        </w:rPr>
        <w:t xml:space="preserve"> that it </w:t>
      </w:r>
      <w:r w:rsidR="00D75829" w:rsidRPr="00B45B9D">
        <w:rPr>
          <w:sz w:val="24"/>
        </w:rPr>
        <w:t>is</w:t>
      </w:r>
      <w:r w:rsidR="00FE6E69" w:rsidRPr="00B45B9D">
        <w:rPr>
          <w:sz w:val="24"/>
        </w:rPr>
        <w:t xml:space="preserve"> about to be </w:t>
      </w:r>
      <w:r w:rsidR="003C70EA" w:rsidRPr="00B45B9D">
        <w:rPr>
          <w:sz w:val="24"/>
        </w:rPr>
        <w:t>abandoned</w:t>
      </w:r>
      <w:r w:rsidRPr="00B45B9D">
        <w:rPr>
          <w:sz w:val="24"/>
        </w:rPr>
        <w:t xml:space="preserve">, </w:t>
      </w:r>
      <w:r w:rsidR="00BE1961" w:rsidRPr="00B45B9D">
        <w:rPr>
          <w:i/>
          <w:sz w:val="24"/>
        </w:rPr>
        <w:t>Apodaca</w:t>
      </w:r>
      <w:r w:rsidR="003C70EA" w:rsidRPr="00B45B9D">
        <w:rPr>
          <w:sz w:val="24"/>
        </w:rPr>
        <w:t xml:space="preserve"> has always supplied weak authority, because its holding was only supported by a single </w:t>
      </w:r>
      <w:r w:rsidR="003C70EA" w:rsidRPr="00B45B9D">
        <w:rPr>
          <w:sz w:val="24"/>
        </w:rPr>
        <w:lastRenderedPageBreak/>
        <w:t xml:space="preserve">Justice’s opinion at the time of writing. Justice Powell alone held in a concurrence that the Sixth Amendment requires unanimous juries, but is not fully incorporated against the states. </w:t>
      </w:r>
      <w:r w:rsidR="003C70EA" w:rsidRPr="00B45B9D">
        <w:rPr>
          <w:i/>
          <w:sz w:val="24"/>
        </w:rPr>
        <w:t>Id</w:t>
      </w:r>
      <w:r w:rsidR="003C70EA" w:rsidRPr="00B45B9D">
        <w:rPr>
          <w:sz w:val="24"/>
        </w:rPr>
        <w:t xml:space="preserve">. In </w:t>
      </w:r>
      <w:r w:rsidR="003C70EA" w:rsidRPr="00B45B9D">
        <w:rPr>
          <w:i/>
          <w:sz w:val="24"/>
        </w:rPr>
        <w:t>Apodaca</w:t>
      </w:r>
      <w:r w:rsidR="003C70EA" w:rsidRPr="00B45B9D">
        <w:rPr>
          <w:sz w:val="24"/>
        </w:rPr>
        <w:t>,</w:t>
      </w:r>
      <w:r w:rsidR="00175D1E" w:rsidRPr="00B45B9D">
        <w:rPr>
          <w:sz w:val="24"/>
        </w:rPr>
        <w:t xml:space="preserve"> five Justices held that the Sixth Amendment requires unanimity</w:t>
      </w:r>
      <w:r w:rsidR="00E533BF" w:rsidRPr="00B45B9D">
        <w:rPr>
          <w:sz w:val="24"/>
        </w:rPr>
        <w:t xml:space="preserve">. </w:t>
      </w:r>
      <w:r w:rsidR="003C70EA" w:rsidRPr="00B45B9D">
        <w:rPr>
          <w:i/>
          <w:sz w:val="24"/>
        </w:rPr>
        <w:t>Id</w:t>
      </w:r>
      <w:r w:rsidR="003C70EA" w:rsidRPr="00B45B9D">
        <w:rPr>
          <w:sz w:val="24"/>
        </w:rPr>
        <w:t>.</w:t>
      </w:r>
      <w:r w:rsidR="00E533BF" w:rsidRPr="00B45B9D">
        <w:rPr>
          <w:sz w:val="24"/>
        </w:rPr>
        <w:t xml:space="preserve">; </w:t>
      </w:r>
      <w:r w:rsidR="003C70EA" w:rsidRPr="00B45B9D">
        <w:rPr>
          <w:i/>
          <w:sz w:val="24"/>
        </w:rPr>
        <w:t>Id</w:t>
      </w:r>
      <w:r w:rsidR="003C70EA" w:rsidRPr="00B45B9D">
        <w:rPr>
          <w:sz w:val="24"/>
        </w:rPr>
        <w:t>.</w:t>
      </w:r>
      <w:r w:rsidR="00E533BF" w:rsidRPr="00B45B9D">
        <w:rPr>
          <w:sz w:val="24"/>
        </w:rPr>
        <w:t xml:space="preserve"> at 414 (Stewart, J., joined by Brennan &amp; Marshall, JJ., dissenting); </w:t>
      </w:r>
      <w:r w:rsidR="003C70EA" w:rsidRPr="00B45B9D">
        <w:rPr>
          <w:i/>
          <w:sz w:val="24"/>
        </w:rPr>
        <w:t>Id.</w:t>
      </w:r>
      <w:r w:rsidR="00E533BF" w:rsidRPr="00B45B9D">
        <w:rPr>
          <w:sz w:val="24"/>
        </w:rPr>
        <w:t xml:space="preserve"> at 3</w:t>
      </w:r>
      <w:r w:rsidR="003C70EA" w:rsidRPr="00B45B9D">
        <w:rPr>
          <w:sz w:val="24"/>
        </w:rPr>
        <w:t>81-83 (Douglas, J., dissenting</w:t>
      </w:r>
      <w:r w:rsidR="00E533BF" w:rsidRPr="00B45B9D">
        <w:rPr>
          <w:sz w:val="24"/>
        </w:rPr>
        <w:t>).</w:t>
      </w:r>
      <w:r w:rsidR="00175D1E" w:rsidRPr="00B45B9D">
        <w:rPr>
          <w:sz w:val="24"/>
        </w:rPr>
        <w:t xml:space="preserve"> </w:t>
      </w:r>
      <w:r w:rsidR="00AA2FC7" w:rsidRPr="00B45B9D">
        <w:rPr>
          <w:sz w:val="24"/>
        </w:rPr>
        <w:t>Thus</w:t>
      </w:r>
      <w:r w:rsidR="00000D3A" w:rsidRPr="00B45B9D">
        <w:rPr>
          <w:sz w:val="24"/>
        </w:rPr>
        <w:t>,</w:t>
      </w:r>
      <w:r w:rsidR="00AA2FC7" w:rsidRPr="00B45B9D">
        <w:rPr>
          <w:sz w:val="24"/>
        </w:rPr>
        <w:t xml:space="preserve"> a</w:t>
      </w:r>
      <w:r w:rsidR="004E4940" w:rsidRPr="00B45B9D">
        <w:rPr>
          <w:sz w:val="24"/>
        </w:rPr>
        <w:t xml:space="preserve"> majority of the Court in </w:t>
      </w:r>
      <w:r w:rsidR="004E4940" w:rsidRPr="00B45B9D">
        <w:rPr>
          <w:i/>
          <w:iCs/>
          <w:sz w:val="24"/>
        </w:rPr>
        <w:t xml:space="preserve">Apodaca </w:t>
      </w:r>
      <w:r w:rsidR="004E4940" w:rsidRPr="00B45B9D">
        <w:rPr>
          <w:sz w:val="24"/>
        </w:rPr>
        <w:t>found that</w:t>
      </w:r>
      <w:r w:rsidR="00AA2FC7" w:rsidRPr="00B45B9D">
        <w:rPr>
          <w:sz w:val="24"/>
        </w:rPr>
        <w:t xml:space="preserve"> the right the a jury </w:t>
      </w:r>
      <w:r w:rsidR="000D2630" w:rsidRPr="00B45B9D">
        <w:rPr>
          <w:sz w:val="24"/>
        </w:rPr>
        <w:t>under the Sixth Amendment included the right to a unanimous jury,</w:t>
      </w:r>
      <w:r w:rsidR="003F73AE" w:rsidRPr="00B45B9D">
        <w:rPr>
          <w:sz w:val="24"/>
        </w:rPr>
        <w:t xml:space="preserve"> </w:t>
      </w:r>
      <w:r w:rsidR="00741C2B" w:rsidRPr="00B45B9D">
        <w:rPr>
          <w:sz w:val="24"/>
        </w:rPr>
        <w:t>and</w:t>
      </w:r>
      <w:r w:rsidR="003F73AE" w:rsidRPr="00B45B9D">
        <w:rPr>
          <w:sz w:val="24"/>
        </w:rPr>
        <w:t xml:space="preserve"> only one justice found that </w:t>
      </w:r>
      <w:r w:rsidR="00741C2B" w:rsidRPr="00B45B9D">
        <w:rPr>
          <w:sz w:val="24"/>
        </w:rPr>
        <w:t xml:space="preserve">the </w:t>
      </w:r>
      <w:r w:rsidR="003F73AE" w:rsidRPr="00B45B9D">
        <w:rPr>
          <w:sz w:val="24"/>
        </w:rPr>
        <w:t xml:space="preserve">right </w:t>
      </w:r>
      <w:r w:rsidR="00741C2B" w:rsidRPr="00B45B9D">
        <w:rPr>
          <w:sz w:val="24"/>
        </w:rPr>
        <w:t>was</w:t>
      </w:r>
      <w:r w:rsidR="003F73AE" w:rsidRPr="00B45B9D">
        <w:rPr>
          <w:sz w:val="24"/>
        </w:rPr>
        <w:t xml:space="preserve"> </w:t>
      </w:r>
      <w:r w:rsidR="00741C2B" w:rsidRPr="00B45B9D">
        <w:rPr>
          <w:sz w:val="24"/>
        </w:rPr>
        <w:t>only</w:t>
      </w:r>
      <w:r w:rsidR="003F73AE" w:rsidRPr="00B45B9D">
        <w:rPr>
          <w:sz w:val="24"/>
        </w:rPr>
        <w:t xml:space="preserve"> partially incorporated by the Fourteenth Amendment. </w:t>
      </w:r>
    </w:p>
    <w:p w14:paraId="5238D484" w14:textId="3A5FC9F4" w:rsidR="002F5E44" w:rsidRPr="00B45B9D" w:rsidRDefault="00175D1E" w:rsidP="00FB4B14">
      <w:pPr>
        <w:spacing w:line="480" w:lineRule="auto"/>
        <w:ind w:firstLine="720"/>
        <w:jc w:val="both"/>
        <w:rPr>
          <w:sz w:val="24"/>
        </w:rPr>
      </w:pPr>
      <w:r w:rsidRPr="00B45B9D">
        <w:rPr>
          <w:sz w:val="24"/>
        </w:rPr>
        <w:t xml:space="preserve">Four Justices concluded that the </w:t>
      </w:r>
      <w:r w:rsidR="002F5E44" w:rsidRPr="00B45B9D">
        <w:rPr>
          <w:sz w:val="24"/>
        </w:rPr>
        <w:t>Sixth Amendment unanimity requirement is fully incorporated against the states</w:t>
      </w:r>
      <w:r w:rsidR="00E533BF" w:rsidRPr="00B45B9D">
        <w:rPr>
          <w:sz w:val="24"/>
        </w:rPr>
        <w:t xml:space="preserve">. </w:t>
      </w:r>
      <w:r w:rsidR="003C70EA" w:rsidRPr="00B45B9D">
        <w:rPr>
          <w:i/>
          <w:sz w:val="24"/>
        </w:rPr>
        <w:t>Id.</w:t>
      </w:r>
      <w:r w:rsidR="003C70EA" w:rsidRPr="00B45B9D">
        <w:rPr>
          <w:sz w:val="24"/>
        </w:rPr>
        <w:t xml:space="preserve"> at</w:t>
      </w:r>
      <w:r w:rsidR="00E533BF" w:rsidRPr="00B45B9D">
        <w:rPr>
          <w:sz w:val="24"/>
        </w:rPr>
        <w:t xml:space="preserve"> 414-15</w:t>
      </w:r>
      <w:r w:rsidR="003C70EA" w:rsidRPr="00B45B9D">
        <w:rPr>
          <w:sz w:val="24"/>
        </w:rPr>
        <w:t>;</w:t>
      </w:r>
      <w:r w:rsidR="00E533BF" w:rsidRPr="00B45B9D">
        <w:rPr>
          <w:sz w:val="24"/>
        </w:rPr>
        <w:t xml:space="preserve"> </w:t>
      </w:r>
      <w:r w:rsidR="003C70EA" w:rsidRPr="00B45B9D">
        <w:rPr>
          <w:i/>
          <w:sz w:val="24"/>
        </w:rPr>
        <w:t>Id</w:t>
      </w:r>
      <w:r w:rsidR="003C70EA" w:rsidRPr="00B45B9D">
        <w:rPr>
          <w:sz w:val="24"/>
        </w:rPr>
        <w:t>. at 380</w:t>
      </w:r>
      <w:r w:rsidR="00E533BF" w:rsidRPr="00B45B9D">
        <w:rPr>
          <w:sz w:val="24"/>
        </w:rPr>
        <w:t>.</w:t>
      </w:r>
      <w:r w:rsidR="002F5E44" w:rsidRPr="00B45B9D">
        <w:rPr>
          <w:rStyle w:val="FootnoteReference"/>
          <w:sz w:val="24"/>
        </w:rPr>
        <w:footnoteReference w:id="4"/>
      </w:r>
      <w:r w:rsidR="00E533BF" w:rsidRPr="00B45B9D">
        <w:rPr>
          <w:sz w:val="24"/>
        </w:rPr>
        <w:t xml:space="preserve"> </w:t>
      </w:r>
      <w:r w:rsidR="00967100" w:rsidRPr="00B45B9D">
        <w:rPr>
          <w:sz w:val="24"/>
        </w:rPr>
        <w:t>E</w:t>
      </w:r>
      <w:r w:rsidRPr="00B45B9D">
        <w:rPr>
          <w:sz w:val="24"/>
        </w:rPr>
        <w:t>ight Justices agreed that the Sixth Amendment applies identically to both the f</w:t>
      </w:r>
      <w:r w:rsidRPr="00B45B9D">
        <w:rPr>
          <w:sz w:val="24"/>
          <w:lang w:val="pt-PT"/>
        </w:rPr>
        <w:t xml:space="preserve">ederal </w:t>
      </w:r>
      <w:r w:rsidRPr="00B45B9D">
        <w:rPr>
          <w:sz w:val="24"/>
        </w:rPr>
        <w:t>and state governments</w:t>
      </w:r>
      <w:r w:rsidR="003A6772" w:rsidRPr="00B45B9D">
        <w:rPr>
          <w:sz w:val="24"/>
        </w:rPr>
        <w:t xml:space="preserve">, and against Justice Powell’s </w:t>
      </w:r>
      <w:r w:rsidR="00741C2B" w:rsidRPr="00B45B9D">
        <w:rPr>
          <w:sz w:val="24"/>
        </w:rPr>
        <w:t>theory</w:t>
      </w:r>
      <w:r w:rsidR="003A6772" w:rsidRPr="00B45B9D">
        <w:rPr>
          <w:sz w:val="24"/>
        </w:rPr>
        <w:t xml:space="preserve"> of partial incorporation</w:t>
      </w:r>
      <w:r w:rsidRPr="00B45B9D">
        <w:rPr>
          <w:sz w:val="24"/>
        </w:rPr>
        <w:t>.</w:t>
      </w:r>
      <w:r w:rsidR="00E533BF" w:rsidRPr="00B45B9D">
        <w:rPr>
          <w:sz w:val="24"/>
        </w:rPr>
        <w:t xml:space="preserve"> </w:t>
      </w:r>
      <w:r w:rsidR="00E533BF" w:rsidRPr="00B45B9D">
        <w:rPr>
          <w:i/>
          <w:iCs/>
          <w:sz w:val="24"/>
        </w:rPr>
        <w:t>Johnson</w:t>
      </w:r>
      <w:r w:rsidR="00E533BF" w:rsidRPr="00B45B9D">
        <w:rPr>
          <w:sz w:val="24"/>
        </w:rPr>
        <w:t>, 406 at 395</w:t>
      </w:r>
      <w:r w:rsidR="00E533BF" w:rsidRPr="00B45B9D">
        <w:rPr>
          <w:sz w:val="24"/>
          <w:lang w:val="it-IT"/>
        </w:rPr>
        <w:t xml:space="preserve"> (Brennan, J., dissenting); </w:t>
      </w:r>
      <w:r w:rsidR="00E533BF" w:rsidRPr="00B45B9D">
        <w:rPr>
          <w:i/>
          <w:sz w:val="24"/>
          <w:lang w:val="it-IT"/>
        </w:rPr>
        <w:t>see also</w:t>
      </w:r>
      <w:r w:rsidR="00E533BF" w:rsidRPr="00B45B9D">
        <w:rPr>
          <w:sz w:val="24"/>
          <w:lang w:val="it-IT"/>
        </w:rPr>
        <w:t xml:space="preserve"> </w:t>
      </w:r>
      <w:r w:rsidR="00495E48" w:rsidRPr="00B45B9D">
        <w:rPr>
          <w:i/>
          <w:sz w:val="24"/>
          <w:lang w:val="it-IT"/>
        </w:rPr>
        <w:t>McDonald v. City of Chicago, Ill</w:t>
      </w:r>
      <w:r w:rsidR="00495E48" w:rsidRPr="00B45B9D">
        <w:rPr>
          <w:sz w:val="24"/>
          <w:lang w:val="it-IT"/>
        </w:rPr>
        <w:t xml:space="preserve">., 561 U.S. 742, 766, 130 S. Ct. </w:t>
      </w:r>
      <w:r w:rsidR="00495E48" w:rsidRPr="00B45B9D">
        <w:rPr>
          <w:sz w:val="24"/>
          <w:lang w:val="it-IT"/>
        </w:rPr>
        <w:lastRenderedPageBreak/>
        <w:t xml:space="preserve">3020, 3035, 177 L. Ed. 2d 894 (2010) </w:t>
      </w:r>
      <w:r w:rsidR="00A60AA1" w:rsidRPr="00B45B9D">
        <w:rPr>
          <w:sz w:val="24"/>
        </w:rPr>
        <w:t>n.</w:t>
      </w:r>
      <w:r w:rsidR="00E533BF" w:rsidRPr="00B45B9D">
        <w:rPr>
          <w:sz w:val="24"/>
        </w:rPr>
        <w:t>14.</w:t>
      </w:r>
      <w:r w:rsidR="003A6772" w:rsidRPr="00B45B9D">
        <w:rPr>
          <w:sz w:val="24"/>
        </w:rPr>
        <w:t xml:space="preserve"> </w:t>
      </w:r>
      <w:r w:rsidR="0082082E" w:rsidRPr="00B45B9D">
        <w:rPr>
          <w:sz w:val="24"/>
        </w:rPr>
        <w:t xml:space="preserve">Thus, </w:t>
      </w:r>
      <w:r w:rsidR="0082082E" w:rsidRPr="00B45B9D">
        <w:rPr>
          <w:i/>
          <w:iCs/>
          <w:sz w:val="24"/>
        </w:rPr>
        <w:t>Apodaca</w:t>
      </w:r>
      <w:r w:rsidR="0082082E" w:rsidRPr="00B45B9D">
        <w:rPr>
          <w:sz w:val="24"/>
        </w:rPr>
        <w:t xml:space="preserve">’s holding cannot be expected to carry significant </w:t>
      </w:r>
      <w:r w:rsidR="001039DE" w:rsidRPr="00B45B9D">
        <w:rPr>
          <w:sz w:val="24"/>
        </w:rPr>
        <w:t>precedential</w:t>
      </w:r>
      <w:r w:rsidR="0082082E" w:rsidRPr="00B45B9D">
        <w:rPr>
          <w:sz w:val="24"/>
        </w:rPr>
        <w:t xml:space="preserve"> weight.</w:t>
      </w:r>
      <w:r w:rsidR="001039DE" w:rsidRPr="00B45B9D">
        <w:rPr>
          <w:vertAlign w:val="superscript"/>
        </w:rPr>
        <w:t xml:space="preserve"> </w:t>
      </w:r>
      <w:r w:rsidR="001039DE" w:rsidRPr="00B45B9D">
        <w:rPr>
          <w:sz w:val="24"/>
          <w:lang w:val="en-CA"/>
        </w:rPr>
        <w:t>Even the State of Louisiana while arguing the case in front of the Supreme Court on October 7, 2019, conceded that “[Powell’s] plurality opinion plus four dissenters does not – is not equal to a holding.”</w:t>
      </w:r>
      <w:r w:rsidR="001039DE" w:rsidRPr="00B45B9D">
        <w:rPr>
          <w:rStyle w:val="FootnoteReference"/>
          <w:sz w:val="24"/>
          <w:lang w:val="en-CA"/>
        </w:rPr>
        <w:footnoteReference w:id="5"/>
      </w:r>
    </w:p>
    <w:p w14:paraId="0A2C130F" w14:textId="465F5D82" w:rsidR="006143F6" w:rsidRPr="00B45B9D" w:rsidRDefault="002F5E44" w:rsidP="002F5E44">
      <w:pPr>
        <w:spacing w:line="480" w:lineRule="auto"/>
        <w:ind w:firstLine="720"/>
        <w:jc w:val="both"/>
        <w:rPr>
          <w:sz w:val="24"/>
        </w:rPr>
      </w:pPr>
      <w:r w:rsidRPr="00B45B9D">
        <w:rPr>
          <w:sz w:val="24"/>
        </w:rPr>
        <w:t xml:space="preserve">The Supreme Court has previously disregarded similarly split opinions when considering whether a previous ruling </w:t>
      </w:r>
      <w:r w:rsidR="00B44B62" w:rsidRPr="00B45B9D">
        <w:rPr>
          <w:sz w:val="24"/>
        </w:rPr>
        <w:t xml:space="preserve">is entitled to </w:t>
      </w:r>
      <w:r w:rsidR="003C2100" w:rsidRPr="00B45B9D">
        <w:rPr>
          <w:sz w:val="24"/>
        </w:rPr>
        <w:t>the deference of</w:t>
      </w:r>
      <w:r w:rsidR="001039DE" w:rsidRPr="00B45B9D">
        <w:rPr>
          <w:sz w:val="24"/>
        </w:rPr>
        <w:t xml:space="preserve"> </w:t>
      </w:r>
      <w:r w:rsidRPr="00B45B9D">
        <w:rPr>
          <w:sz w:val="24"/>
        </w:rPr>
        <w:t>stare decisis. For example, in one case where</w:t>
      </w:r>
      <w:r w:rsidR="000B49BD" w:rsidRPr="00B45B9D">
        <w:rPr>
          <w:sz w:val="24"/>
        </w:rPr>
        <w:t>,</w:t>
      </w:r>
      <w:r w:rsidRPr="00B45B9D">
        <w:rPr>
          <w:sz w:val="24"/>
        </w:rPr>
        <w:t xml:space="preserve"> exactly like </w:t>
      </w:r>
      <w:r w:rsidRPr="00B45B9D">
        <w:rPr>
          <w:i/>
          <w:sz w:val="24"/>
        </w:rPr>
        <w:t>Apodaca</w:t>
      </w:r>
      <w:r w:rsidR="00C17B00" w:rsidRPr="00B45B9D">
        <w:rPr>
          <w:sz w:val="24"/>
        </w:rPr>
        <w:t>, a fifth justice had had “provide</w:t>
      </w:r>
      <w:r w:rsidR="000B49BD" w:rsidRPr="00B45B9D">
        <w:rPr>
          <w:sz w:val="24"/>
        </w:rPr>
        <w:t>d the fifth vote for the result</w:t>
      </w:r>
      <w:r w:rsidR="00C17B00" w:rsidRPr="00B45B9D">
        <w:rPr>
          <w:sz w:val="24"/>
        </w:rPr>
        <w:t>” but had written “separately in order to indicate his disagreement with the plurality's rationale,”</w:t>
      </w:r>
      <w:r w:rsidR="000B49BD" w:rsidRPr="00B45B9D">
        <w:rPr>
          <w:sz w:val="24"/>
        </w:rPr>
        <w:t xml:space="preserve"> the C</w:t>
      </w:r>
      <w:r w:rsidRPr="00B45B9D">
        <w:rPr>
          <w:sz w:val="24"/>
        </w:rPr>
        <w:t>ourt later rejected the earlier case’s holding.</w:t>
      </w:r>
      <w:r w:rsidR="00B91B4B" w:rsidRPr="00B45B9D">
        <w:rPr>
          <w:i/>
          <w:sz w:val="24"/>
        </w:rPr>
        <w:t xml:space="preserve"> Seminole Tribe of Fla. v. Fla</w:t>
      </w:r>
      <w:r w:rsidR="00E654A7" w:rsidRPr="00B45B9D">
        <w:rPr>
          <w:sz w:val="24"/>
        </w:rPr>
        <w:t>,</w:t>
      </w:r>
      <w:r w:rsidR="00B91B4B" w:rsidRPr="00B45B9D">
        <w:rPr>
          <w:sz w:val="24"/>
        </w:rPr>
        <w:t xml:space="preserve"> 517 U.S. 44, 64, 116 S. Ct. 1114, 1127, 134 L. Ed. 2d 252 (1996).</w:t>
      </w:r>
      <w:r w:rsidRPr="00B45B9D">
        <w:rPr>
          <w:sz w:val="24"/>
        </w:rPr>
        <w:t xml:space="preserve"> The Court’s opinion</w:t>
      </w:r>
      <w:r w:rsidR="00000D3A" w:rsidRPr="00B45B9D">
        <w:rPr>
          <w:sz w:val="24"/>
        </w:rPr>
        <w:t xml:space="preserve"> in that case</w:t>
      </w:r>
      <w:r w:rsidRPr="00B45B9D">
        <w:rPr>
          <w:sz w:val="24"/>
        </w:rPr>
        <w:t xml:space="preserve"> notes that the previous split </w:t>
      </w:r>
      <w:r w:rsidR="000B49BD" w:rsidRPr="00B45B9D">
        <w:rPr>
          <w:sz w:val="24"/>
        </w:rPr>
        <w:t>decision</w:t>
      </w:r>
      <w:r w:rsidRPr="00B45B9D">
        <w:rPr>
          <w:sz w:val="24"/>
        </w:rPr>
        <w:t xml:space="preserve"> </w:t>
      </w:r>
      <w:r w:rsidR="00C17B00" w:rsidRPr="00B45B9D">
        <w:rPr>
          <w:sz w:val="24"/>
        </w:rPr>
        <w:t>was “</w:t>
      </w:r>
      <w:r w:rsidRPr="00B45B9D">
        <w:rPr>
          <w:sz w:val="24"/>
        </w:rPr>
        <w:t xml:space="preserve">of questionable precedential value, largely because a majority of the Court expressly disagreed with the rationale of the plurality.” </w:t>
      </w:r>
      <w:r w:rsidR="00B91B4B" w:rsidRPr="00B45B9D">
        <w:rPr>
          <w:i/>
          <w:sz w:val="24"/>
        </w:rPr>
        <w:t>Id.</w:t>
      </w:r>
      <w:r w:rsidR="00B91B4B" w:rsidRPr="00B45B9D">
        <w:rPr>
          <w:sz w:val="24"/>
        </w:rPr>
        <w:t xml:space="preserve"> at 66. </w:t>
      </w:r>
      <w:r w:rsidRPr="00B45B9D">
        <w:rPr>
          <w:sz w:val="24"/>
        </w:rPr>
        <w:t xml:space="preserve">Even the dissent </w:t>
      </w:r>
      <w:r w:rsidR="000B49BD" w:rsidRPr="00B45B9D">
        <w:rPr>
          <w:sz w:val="24"/>
        </w:rPr>
        <w:t>agreed</w:t>
      </w:r>
      <w:r w:rsidR="00C17B00" w:rsidRPr="00B45B9D">
        <w:rPr>
          <w:sz w:val="24"/>
        </w:rPr>
        <w:t xml:space="preserve"> with the majority's “decision to reexamine </w:t>
      </w:r>
      <w:r w:rsidRPr="00B45B9D">
        <w:rPr>
          <w:sz w:val="24"/>
        </w:rPr>
        <w:t>[the previous case]</w:t>
      </w:r>
      <w:r w:rsidR="00C17B00" w:rsidRPr="00B45B9D">
        <w:rPr>
          <w:sz w:val="24"/>
        </w:rPr>
        <w:t xml:space="preserve"> for the Court in that case produced no majority for a </w:t>
      </w:r>
      <w:r w:rsidR="00C17B00" w:rsidRPr="00B45B9D">
        <w:rPr>
          <w:sz w:val="24"/>
        </w:rPr>
        <w:lastRenderedPageBreak/>
        <w:t>single rationale.”</w:t>
      </w:r>
      <w:r w:rsidR="006A2931" w:rsidRPr="00B45B9D">
        <w:rPr>
          <w:sz w:val="24"/>
        </w:rPr>
        <w:t xml:space="preserve"> </w:t>
      </w:r>
      <w:r w:rsidR="006A2931" w:rsidRPr="00B45B9D">
        <w:rPr>
          <w:i/>
          <w:sz w:val="24"/>
        </w:rPr>
        <w:t>Id</w:t>
      </w:r>
      <w:r w:rsidR="006A2931" w:rsidRPr="00B45B9D">
        <w:rPr>
          <w:sz w:val="24"/>
        </w:rPr>
        <w:t>. at 100 (Souter, J., dissenting).</w:t>
      </w:r>
      <w:r w:rsidR="00A60AA1" w:rsidRPr="00B45B9D">
        <w:rPr>
          <w:sz w:val="24"/>
        </w:rPr>
        <w:t xml:space="preserve"> </w:t>
      </w:r>
    </w:p>
    <w:p w14:paraId="283FC6A8" w14:textId="739ADAFE" w:rsidR="002F5E44" w:rsidRPr="00B45B9D" w:rsidRDefault="006268C8" w:rsidP="00BC6352">
      <w:pPr>
        <w:spacing w:line="480" w:lineRule="auto"/>
        <w:ind w:firstLine="720"/>
        <w:jc w:val="both"/>
        <w:rPr>
          <w:sz w:val="24"/>
        </w:rPr>
      </w:pPr>
      <w:r w:rsidRPr="00B45B9D">
        <w:rPr>
          <w:sz w:val="24"/>
        </w:rPr>
        <w:t>The</w:t>
      </w:r>
      <w:r w:rsidR="005F52A3" w:rsidRPr="00B45B9D">
        <w:rPr>
          <w:sz w:val="24"/>
        </w:rPr>
        <w:t xml:space="preserve"> only leg on which </w:t>
      </w:r>
      <w:r w:rsidR="005F52A3" w:rsidRPr="00B45B9D">
        <w:rPr>
          <w:i/>
          <w:sz w:val="24"/>
        </w:rPr>
        <w:t>Apodaca</w:t>
      </w:r>
      <w:r w:rsidR="005F52A3" w:rsidRPr="00B45B9D">
        <w:rPr>
          <w:sz w:val="24"/>
        </w:rPr>
        <w:t xml:space="preserve"> stands is Justice Powell’s theory that the Sixth Amendment is only partially incorporated against the states.</w:t>
      </w:r>
      <w:r w:rsidR="00985A3E" w:rsidRPr="00B45B9D">
        <w:rPr>
          <w:sz w:val="24"/>
        </w:rPr>
        <w:t xml:space="preserve"> </w:t>
      </w:r>
      <w:r w:rsidR="005F52A3" w:rsidRPr="00B45B9D">
        <w:rPr>
          <w:sz w:val="24"/>
        </w:rPr>
        <w:t xml:space="preserve">This position had </w:t>
      </w:r>
      <w:r w:rsidR="00545F77" w:rsidRPr="00B45B9D">
        <w:rPr>
          <w:sz w:val="24"/>
        </w:rPr>
        <w:t>no other</w:t>
      </w:r>
      <w:r w:rsidR="005F52A3" w:rsidRPr="00B45B9D">
        <w:rPr>
          <w:sz w:val="24"/>
        </w:rPr>
        <w:t xml:space="preserve"> support at the time of the decision, and the Court</w:t>
      </w:r>
      <w:r w:rsidR="00E654A7" w:rsidRPr="00B45B9D">
        <w:rPr>
          <w:sz w:val="24"/>
        </w:rPr>
        <w:t xml:space="preserve"> has since repeatedly indicated its disagreement with Powell’s partial incorporation theory</w:t>
      </w:r>
      <w:r w:rsidR="007F24C8" w:rsidRPr="00B45B9D">
        <w:rPr>
          <w:sz w:val="24"/>
        </w:rPr>
        <w:t xml:space="preserve">. </w:t>
      </w:r>
      <w:r w:rsidR="007F24C8" w:rsidRPr="00B45B9D">
        <w:rPr>
          <w:i/>
          <w:sz w:val="24"/>
        </w:rPr>
        <w:t>Brief for American Bar Association as Amicus Curiae Supporting Petitioner,</w:t>
      </w:r>
      <w:r w:rsidR="007F24C8" w:rsidRPr="00B45B9D">
        <w:rPr>
          <w:sz w:val="24"/>
        </w:rPr>
        <w:t xml:space="preserve"> </w:t>
      </w:r>
      <w:r w:rsidR="007F24C8" w:rsidRPr="00B45B9D">
        <w:rPr>
          <w:i/>
          <w:sz w:val="24"/>
        </w:rPr>
        <w:t>Ramos v. Louisiana</w:t>
      </w:r>
      <w:r w:rsidR="007F24C8" w:rsidRPr="00B45B9D">
        <w:rPr>
          <w:sz w:val="24"/>
        </w:rPr>
        <w:t>, 2019 WL 2549746 (U.S. 2019) at 14-15</w:t>
      </w:r>
      <w:r w:rsidR="00AF37B4" w:rsidRPr="00B45B9D">
        <w:rPr>
          <w:sz w:val="24"/>
        </w:rPr>
        <w:t>.</w:t>
      </w:r>
      <w:r w:rsidR="00175D1E" w:rsidRPr="00B45B9D">
        <w:rPr>
          <w:rStyle w:val="FootnoteReference"/>
          <w:sz w:val="24"/>
        </w:rPr>
        <w:footnoteReference w:id="6"/>
      </w:r>
      <w:r w:rsidR="00175D1E" w:rsidRPr="00B45B9D">
        <w:rPr>
          <w:sz w:val="24"/>
        </w:rPr>
        <w:t xml:space="preserve"> </w:t>
      </w:r>
      <w:r w:rsidR="002F5E44" w:rsidRPr="00B45B9D">
        <w:rPr>
          <w:sz w:val="24"/>
        </w:rPr>
        <w:t xml:space="preserve">Only two states, Louisiana and Oregon, have continued to allow criminal convictions for felonies based on non-unanimous jury verdicts. La. Const. art. I, § 17; Or. Const. art. I, § 11. All forty-eight other states, and federal criminal courts, require a unanimous jury verdict to convict a defendant of a felony. Fed. R. Crim. P. 31 (a); </w:t>
      </w:r>
      <w:r w:rsidR="002F5E44" w:rsidRPr="00B45B9D">
        <w:rPr>
          <w:i/>
          <w:sz w:val="24"/>
        </w:rPr>
        <w:t>e.g.</w:t>
      </w:r>
      <w:r w:rsidR="002F5E44" w:rsidRPr="00B45B9D">
        <w:rPr>
          <w:sz w:val="24"/>
        </w:rPr>
        <w:t xml:space="preserve"> MS R RCRP Rule 18.1(a)(2).</w:t>
      </w:r>
      <w:r w:rsidR="00BB0D3B" w:rsidRPr="00B45B9D">
        <w:rPr>
          <w:sz w:val="24"/>
        </w:rPr>
        <w:t xml:space="preserve"> </w:t>
      </w:r>
      <w:r w:rsidR="00B40CFB" w:rsidRPr="00B45B9D">
        <w:rPr>
          <w:sz w:val="24"/>
        </w:rPr>
        <w:t xml:space="preserve">Louisiana’ non-unanimous jury scheme, as </w:t>
      </w:r>
      <w:r w:rsidR="00B56487" w:rsidRPr="00B45B9D">
        <w:rPr>
          <w:sz w:val="24"/>
        </w:rPr>
        <w:t xml:space="preserve">required by </w:t>
      </w:r>
      <w:r w:rsidR="00AE34D0" w:rsidRPr="00B45B9D">
        <w:rPr>
          <w:sz w:val="24"/>
          <w:lang w:val="en-CA"/>
        </w:rPr>
        <w:t xml:space="preserve">La. Const. </w:t>
      </w:r>
      <w:r w:rsidR="00AE34D0" w:rsidRPr="00B45B9D">
        <w:rPr>
          <w:sz w:val="24"/>
          <w:lang w:val="en-CA"/>
        </w:rPr>
        <w:lastRenderedPageBreak/>
        <w:t>art. I § 17 and La. C.Cr.P. art. 782</w:t>
      </w:r>
      <w:r w:rsidR="00B56487" w:rsidRPr="00B45B9D">
        <w:rPr>
          <w:sz w:val="24"/>
          <w:lang w:val="en-CA"/>
        </w:rPr>
        <w:t>,</w:t>
      </w:r>
      <w:r w:rsidR="001039DE" w:rsidRPr="00B45B9D">
        <w:rPr>
          <w:sz w:val="24"/>
        </w:rPr>
        <w:t xml:space="preserve"> </w:t>
      </w:r>
      <w:r w:rsidR="00A8768B" w:rsidRPr="00B45B9D">
        <w:rPr>
          <w:sz w:val="24"/>
        </w:rPr>
        <w:t>violates the Sixth and Fourteenth Amendments,</w:t>
      </w:r>
      <w:r w:rsidR="00BB0D3B" w:rsidRPr="00B45B9D">
        <w:rPr>
          <w:sz w:val="24"/>
        </w:rPr>
        <w:t xml:space="preserve"> and the U.S. Supreme Court has indicated its </w:t>
      </w:r>
      <w:r w:rsidR="00A8768B" w:rsidRPr="00B45B9D">
        <w:rPr>
          <w:sz w:val="24"/>
        </w:rPr>
        <w:t>imminent intention to</w:t>
      </w:r>
      <w:r w:rsidR="0064662D" w:rsidRPr="00B45B9D">
        <w:rPr>
          <w:sz w:val="24"/>
        </w:rPr>
        <w:t xml:space="preserve"> so hold</w:t>
      </w:r>
      <w:r w:rsidR="00A8768B" w:rsidRPr="00B45B9D">
        <w:rPr>
          <w:sz w:val="24"/>
        </w:rPr>
        <w:t>.</w:t>
      </w:r>
    </w:p>
    <w:p w14:paraId="16D02A20" w14:textId="77777777" w:rsidR="001D3814" w:rsidRPr="00B45B9D" w:rsidRDefault="001D3814" w:rsidP="001D3814">
      <w:pPr>
        <w:spacing w:line="480" w:lineRule="auto"/>
        <w:jc w:val="both"/>
        <w:rPr>
          <w:sz w:val="24"/>
        </w:rPr>
      </w:pPr>
    </w:p>
    <w:p w14:paraId="56E0E416" w14:textId="39821EFD" w:rsidR="003A11E0" w:rsidRPr="00B45B9D" w:rsidRDefault="007B45C6" w:rsidP="00B45B9D">
      <w:pPr>
        <w:pStyle w:val="ListParagraph"/>
        <w:numPr>
          <w:ilvl w:val="0"/>
          <w:numId w:val="22"/>
        </w:numPr>
        <w:jc w:val="both"/>
        <w:rPr>
          <w:b/>
          <w:sz w:val="24"/>
        </w:rPr>
      </w:pPr>
      <w:r w:rsidRPr="00B45B9D">
        <w:rPr>
          <w:b/>
          <w:sz w:val="24"/>
        </w:rPr>
        <w:t xml:space="preserve">The Sixth Amendment Requires A Unanimous Jury Verdict </w:t>
      </w:r>
      <w:r w:rsidR="002B5B03" w:rsidRPr="00B45B9D">
        <w:rPr>
          <w:b/>
          <w:sz w:val="24"/>
        </w:rPr>
        <w:t>And T</w:t>
      </w:r>
      <w:r w:rsidR="005F29F9" w:rsidRPr="00B45B9D">
        <w:rPr>
          <w:b/>
          <w:sz w:val="24"/>
        </w:rPr>
        <w:t>his</w:t>
      </w:r>
      <w:r w:rsidRPr="00B45B9D">
        <w:rPr>
          <w:b/>
          <w:sz w:val="24"/>
        </w:rPr>
        <w:t xml:space="preserve"> Requirement Is Fully Incorporated </w:t>
      </w:r>
      <w:r w:rsidR="002B5B03" w:rsidRPr="00B45B9D">
        <w:rPr>
          <w:b/>
          <w:sz w:val="24"/>
        </w:rPr>
        <w:t xml:space="preserve">Under The Due Process Clause Of The Fourteenth Amendment </w:t>
      </w:r>
      <w:r w:rsidRPr="00B45B9D">
        <w:rPr>
          <w:b/>
          <w:sz w:val="24"/>
        </w:rPr>
        <w:t xml:space="preserve">And </w:t>
      </w:r>
      <w:r w:rsidR="002B5B03" w:rsidRPr="00B45B9D">
        <w:rPr>
          <w:b/>
          <w:sz w:val="24"/>
        </w:rPr>
        <w:t xml:space="preserve">Is </w:t>
      </w:r>
      <w:r w:rsidR="00940A58" w:rsidRPr="00B45B9D">
        <w:rPr>
          <w:b/>
          <w:sz w:val="24"/>
        </w:rPr>
        <w:t xml:space="preserve">Applicable </w:t>
      </w:r>
      <w:r w:rsidRPr="00B45B9D">
        <w:rPr>
          <w:b/>
          <w:sz w:val="24"/>
        </w:rPr>
        <w:t xml:space="preserve">Against The States. </w:t>
      </w:r>
    </w:p>
    <w:p w14:paraId="0C9AFB1C" w14:textId="77777777" w:rsidR="003A11E0" w:rsidRPr="00B45B9D" w:rsidRDefault="003A11E0" w:rsidP="003A11E0">
      <w:pPr>
        <w:rPr>
          <w:b/>
          <w:sz w:val="24"/>
        </w:rPr>
      </w:pPr>
    </w:p>
    <w:p w14:paraId="76E91695" w14:textId="33F0F691" w:rsidR="003E5314" w:rsidRPr="00B45B9D" w:rsidRDefault="001039DE" w:rsidP="00C47AA0">
      <w:pPr>
        <w:spacing w:line="480" w:lineRule="auto"/>
        <w:ind w:firstLine="720"/>
        <w:jc w:val="both"/>
        <w:rPr>
          <w:sz w:val="24"/>
        </w:rPr>
      </w:pPr>
      <w:r w:rsidRPr="00B45B9D">
        <w:rPr>
          <w:sz w:val="24"/>
        </w:rPr>
        <w:t xml:space="preserve">The </w:t>
      </w:r>
      <w:r w:rsidR="003A11E0" w:rsidRPr="00B45B9D">
        <w:rPr>
          <w:sz w:val="24"/>
        </w:rPr>
        <w:t>Sixth Amendment of the United States Constitution requires that federal juries reach a unanimous jury verdict.</w:t>
      </w:r>
      <w:r w:rsidRPr="00B45B9D">
        <w:rPr>
          <w:sz w:val="24"/>
        </w:rPr>
        <w:t xml:space="preserve"> </w:t>
      </w:r>
      <w:r w:rsidRPr="00B45B9D">
        <w:rPr>
          <w:i/>
          <w:sz w:val="24"/>
        </w:rPr>
        <w:t>Andres v. United States</w:t>
      </w:r>
      <w:r w:rsidRPr="00B45B9D">
        <w:rPr>
          <w:sz w:val="24"/>
        </w:rPr>
        <w:t>, 333 U.S. 740, 748, 68 S. Ct. 880, 884, 92 L. Ed. 1055 (1948) (“Unanimity in jury verdicts is required where the Sixth and Seventh Amendments apply.</w:t>
      </w:r>
      <w:r w:rsidRPr="00B45B9D">
        <w:rPr>
          <w:sz w:val="24"/>
          <w:vertAlign w:val="superscript"/>
        </w:rPr>
        <w:t xml:space="preserve"> </w:t>
      </w:r>
      <w:r w:rsidRPr="00B45B9D">
        <w:rPr>
          <w:sz w:val="24"/>
        </w:rPr>
        <w:t xml:space="preserve">In criminal cases this requirement of unanimity extends to all issues—character or degree of the crime, guilt and punishment—which are left to the jury.”); </w:t>
      </w:r>
      <w:r w:rsidRPr="00B45B9D">
        <w:rPr>
          <w:i/>
          <w:sz w:val="24"/>
        </w:rPr>
        <w:t>see also Richardson v. United States</w:t>
      </w:r>
      <w:r w:rsidRPr="00B45B9D">
        <w:rPr>
          <w:sz w:val="24"/>
        </w:rPr>
        <w:t>, 526 U.S. 813, 817, 119 S. Ct. 1707, 1710, 143 L. Ed. 2d 985 (1999).</w:t>
      </w:r>
      <w:r w:rsidR="003A11E0" w:rsidRPr="00B45B9D">
        <w:rPr>
          <w:sz w:val="24"/>
        </w:rPr>
        <w:t xml:space="preserve"> In one of the </w:t>
      </w:r>
      <w:r w:rsidR="006D7090" w:rsidRPr="00B45B9D">
        <w:rPr>
          <w:sz w:val="24"/>
        </w:rPr>
        <w:t>earliest</w:t>
      </w:r>
      <w:r w:rsidR="003A11E0" w:rsidRPr="00B45B9D">
        <w:rPr>
          <w:sz w:val="24"/>
        </w:rPr>
        <w:t xml:space="preserve"> cases deciding the issue, the Court held that “life and liberty, when involved in criminal prosecutions, would not be adequately secured except through the </w:t>
      </w:r>
      <w:r w:rsidR="003A11E0" w:rsidRPr="00B45B9D">
        <w:rPr>
          <w:i/>
          <w:iCs/>
          <w:sz w:val="24"/>
        </w:rPr>
        <w:t xml:space="preserve">unanimous </w:t>
      </w:r>
      <w:r w:rsidRPr="00B45B9D">
        <w:rPr>
          <w:sz w:val="24"/>
        </w:rPr>
        <w:t>verdict</w:t>
      </w:r>
      <w:r w:rsidR="003A11E0" w:rsidRPr="00B45B9D">
        <w:rPr>
          <w:sz w:val="24"/>
        </w:rPr>
        <w:t>”</w:t>
      </w:r>
      <w:r w:rsidRPr="00B45B9D">
        <w:rPr>
          <w:sz w:val="24"/>
        </w:rPr>
        <w:t xml:space="preserve"> of the jury.</w:t>
      </w:r>
      <w:r w:rsidR="008F53FA" w:rsidRPr="00B45B9D">
        <w:rPr>
          <w:sz w:val="24"/>
        </w:rPr>
        <w:t xml:space="preserve"> </w:t>
      </w:r>
      <w:r w:rsidR="008F53FA" w:rsidRPr="00B45B9D">
        <w:rPr>
          <w:i/>
          <w:sz w:val="24"/>
        </w:rPr>
        <w:t>Thompson v. Utah</w:t>
      </w:r>
      <w:r w:rsidR="008F53FA" w:rsidRPr="00B45B9D">
        <w:rPr>
          <w:sz w:val="24"/>
        </w:rPr>
        <w:t xml:space="preserve">, </w:t>
      </w:r>
      <w:r w:rsidR="00686AB3" w:rsidRPr="00B45B9D">
        <w:rPr>
          <w:sz w:val="24"/>
        </w:rPr>
        <w:t xml:space="preserve">170 U.S. 343, 353, 18 S. Ct. 620, 624, 42 L. Ed. 1061 </w:t>
      </w:r>
      <w:r w:rsidR="008F53FA" w:rsidRPr="00B45B9D">
        <w:rPr>
          <w:sz w:val="24"/>
        </w:rPr>
        <w:t>(1898)</w:t>
      </w:r>
      <w:r w:rsidR="00686AB3" w:rsidRPr="00B45B9D">
        <w:rPr>
          <w:sz w:val="24"/>
        </w:rPr>
        <w:t xml:space="preserve"> (emphasis added)</w:t>
      </w:r>
      <w:r w:rsidR="008F53FA" w:rsidRPr="00B45B9D">
        <w:rPr>
          <w:sz w:val="24"/>
        </w:rPr>
        <w:t xml:space="preserve">. </w:t>
      </w:r>
      <w:r w:rsidR="006D7090" w:rsidRPr="00B45B9D">
        <w:rPr>
          <w:sz w:val="24"/>
        </w:rPr>
        <w:t>Even Justice Powell</w:t>
      </w:r>
      <w:r w:rsidR="006D726E" w:rsidRPr="00B45B9D">
        <w:rPr>
          <w:sz w:val="24"/>
        </w:rPr>
        <w:t xml:space="preserve"> </w:t>
      </w:r>
      <w:r w:rsidR="00C47AA0" w:rsidRPr="00B45B9D">
        <w:rPr>
          <w:sz w:val="24"/>
        </w:rPr>
        <w:lastRenderedPageBreak/>
        <w:t xml:space="preserve">in </w:t>
      </w:r>
      <w:r w:rsidR="00C47AA0" w:rsidRPr="00B45B9D">
        <w:rPr>
          <w:i/>
          <w:sz w:val="24"/>
        </w:rPr>
        <w:t>Apodaca</w:t>
      </w:r>
      <w:r w:rsidR="00C47AA0" w:rsidRPr="00B45B9D">
        <w:rPr>
          <w:sz w:val="24"/>
        </w:rPr>
        <w:t xml:space="preserve"> </w:t>
      </w:r>
      <w:r w:rsidR="006D7090" w:rsidRPr="00B45B9D">
        <w:rPr>
          <w:sz w:val="24"/>
        </w:rPr>
        <w:t xml:space="preserve">asserted that “unanimity is one of the indispensable features of </w:t>
      </w:r>
      <w:r w:rsidR="006D7090" w:rsidRPr="00B45B9D">
        <w:rPr>
          <w:i/>
          <w:sz w:val="24"/>
        </w:rPr>
        <w:t>federal</w:t>
      </w:r>
      <w:r w:rsidR="006D7090" w:rsidRPr="00B45B9D">
        <w:rPr>
          <w:sz w:val="24"/>
        </w:rPr>
        <w:t xml:space="preserve"> jury trial.”</w:t>
      </w:r>
      <w:r w:rsidR="008F53FA" w:rsidRPr="00B45B9D">
        <w:rPr>
          <w:sz w:val="24"/>
        </w:rPr>
        <w:t xml:space="preserve"> 406 U.S. at</w:t>
      </w:r>
      <w:r w:rsidRPr="00B45B9D">
        <w:rPr>
          <w:sz w:val="24"/>
        </w:rPr>
        <w:t xml:space="preserve"> 369 (1972) (Powell, concurring)</w:t>
      </w:r>
      <w:r w:rsidR="008F53FA" w:rsidRPr="00B45B9D">
        <w:rPr>
          <w:sz w:val="24"/>
        </w:rPr>
        <w:t>.</w:t>
      </w:r>
      <w:r w:rsidR="006D7090" w:rsidRPr="00B45B9D">
        <w:rPr>
          <w:sz w:val="24"/>
        </w:rPr>
        <w:t xml:space="preserve"> </w:t>
      </w:r>
      <w:r w:rsidR="00A01681" w:rsidRPr="00B45B9D">
        <w:rPr>
          <w:sz w:val="24"/>
        </w:rPr>
        <w:t>T</w:t>
      </w:r>
      <w:r w:rsidR="00097C22" w:rsidRPr="00B45B9D">
        <w:rPr>
          <w:sz w:val="24"/>
        </w:rPr>
        <w:t>his rule has been repeatedly re</w:t>
      </w:r>
      <w:r w:rsidR="00A01681" w:rsidRPr="00B45B9D">
        <w:rPr>
          <w:sz w:val="24"/>
        </w:rPr>
        <w:t xml:space="preserve">affirmed. In a line of cases involving the scope of the jury trial right, this Court has </w:t>
      </w:r>
      <w:r w:rsidR="00097C22" w:rsidRPr="00B45B9D">
        <w:rPr>
          <w:sz w:val="24"/>
        </w:rPr>
        <w:t xml:space="preserve">reiterated </w:t>
      </w:r>
      <w:r w:rsidR="00A01681" w:rsidRPr="00B45B9D">
        <w:rPr>
          <w:sz w:val="24"/>
        </w:rPr>
        <w:t>that the Sixth Amendment requires that “the truth of every accusation … be confirmed by the unanimous suffrage of [the defendant's] equals and neighbors.”</w:t>
      </w:r>
      <w:r w:rsidR="008F53FA" w:rsidRPr="00B45B9D">
        <w:rPr>
          <w:sz w:val="24"/>
        </w:rPr>
        <w:t xml:space="preserve"> </w:t>
      </w:r>
      <w:r w:rsidR="008F53FA" w:rsidRPr="00B45B9D">
        <w:rPr>
          <w:i/>
          <w:sz w:val="24"/>
        </w:rPr>
        <w:t>Apprendi v. New Jersey</w:t>
      </w:r>
      <w:r w:rsidR="008F53FA" w:rsidRPr="00B45B9D">
        <w:rPr>
          <w:sz w:val="24"/>
        </w:rPr>
        <w:t xml:space="preserve">, </w:t>
      </w:r>
      <w:r w:rsidR="00A3257A" w:rsidRPr="00B45B9D">
        <w:rPr>
          <w:sz w:val="24"/>
        </w:rPr>
        <w:t>530 U.S. 466, 477, 120 S. Ct. 2348, 2356, 147 L. Ed. 2d 435 (2000)</w:t>
      </w:r>
      <w:r w:rsidR="008F53FA" w:rsidRPr="00B45B9D">
        <w:rPr>
          <w:sz w:val="24"/>
        </w:rPr>
        <w:t xml:space="preserve"> (quoting 4 William Blackstone, </w:t>
      </w:r>
      <w:r w:rsidR="008F53FA" w:rsidRPr="00B45B9D">
        <w:rPr>
          <w:i/>
          <w:sz w:val="24"/>
        </w:rPr>
        <w:t>Commentaries on the Laws of England</w:t>
      </w:r>
      <w:r w:rsidR="00777D7F" w:rsidRPr="00B45B9D">
        <w:rPr>
          <w:sz w:val="24"/>
        </w:rPr>
        <w:t xml:space="preserve"> </w:t>
      </w:r>
      <w:r w:rsidR="008F53FA" w:rsidRPr="00B45B9D">
        <w:rPr>
          <w:sz w:val="24"/>
        </w:rPr>
        <w:t>349-50 (1769)</w:t>
      </w:r>
      <w:r w:rsidR="008F53FA" w:rsidRPr="00B45B9D">
        <w:rPr>
          <w:i/>
          <w:sz w:val="24"/>
        </w:rPr>
        <w:t>; accord S. Union Co. v. United States</w:t>
      </w:r>
      <w:r w:rsidR="008F53FA" w:rsidRPr="00B45B9D">
        <w:rPr>
          <w:sz w:val="24"/>
        </w:rPr>
        <w:t xml:space="preserve">, </w:t>
      </w:r>
      <w:r w:rsidR="00A3257A" w:rsidRPr="00B45B9D">
        <w:rPr>
          <w:sz w:val="24"/>
        </w:rPr>
        <w:t xml:space="preserve">567 U.S. 343, 356, 132 S. Ct. 2344, 2354, 183 L. Ed. 2d 318 </w:t>
      </w:r>
      <w:r w:rsidR="008F53FA" w:rsidRPr="00B45B9D">
        <w:rPr>
          <w:sz w:val="24"/>
        </w:rPr>
        <w:t xml:space="preserve">(2012); </w:t>
      </w:r>
      <w:r w:rsidR="008F53FA" w:rsidRPr="00B45B9D">
        <w:rPr>
          <w:i/>
          <w:sz w:val="24"/>
        </w:rPr>
        <w:t>United States v. Booker</w:t>
      </w:r>
      <w:r w:rsidR="008F53FA" w:rsidRPr="00B45B9D">
        <w:rPr>
          <w:sz w:val="24"/>
        </w:rPr>
        <w:t xml:space="preserve">, </w:t>
      </w:r>
      <w:r w:rsidR="00A3257A" w:rsidRPr="00B45B9D">
        <w:rPr>
          <w:sz w:val="24"/>
        </w:rPr>
        <w:t xml:space="preserve">543 U.S. 220, 239, 125 S. Ct. 738, 753, 160 L. Ed. 2d 621 </w:t>
      </w:r>
      <w:r w:rsidR="008F53FA" w:rsidRPr="00B45B9D">
        <w:rPr>
          <w:sz w:val="24"/>
        </w:rPr>
        <w:t xml:space="preserve">(2005); </w:t>
      </w:r>
      <w:r w:rsidR="008F53FA" w:rsidRPr="00B45B9D">
        <w:rPr>
          <w:i/>
          <w:sz w:val="24"/>
        </w:rPr>
        <w:t>Blakely v. Washington</w:t>
      </w:r>
      <w:r w:rsidR="008F53FA" w:rsidRPr="00B45B9D">
        <w:rPr>
          <w:sz w:val="24"/>
        </w:rPr>
        <w:t xml:space="preserve">, </w:t>
      </w:r>
      <w:r w:rsidR="00AC3FC6" w:rsidRPr="00B45B9D">
        <w:rPr>
          <w:sz w:val="24"/>
        </w:rPr>
        <w:t>5</w:t>
      </w:r>
      <w:r w:rsidR="007F4E9B" w:rsidRPr="00B45B9D">
        <w:rPr>
          <w:sz w:val="24"/>
        </w:rPr>
        <w:t>42 U.S. 296, 301, 124 S. Ct. 2531, 2536, 159 L. Ed. 2d 403</w:t>
      </w:r>
      <w:r w:rsidR="008F53FA" w:rsidRPr="00B45B9D">
        <w:rPr>
          <w:sz w:val="24"/>
        </w:rPr>
        <w:t xml:space="preserve"> (2004); </w:t>
      </w:r>
      <w:r w:rsidR="008F53FA" w:rsidRPr="00B45B9D">
        <w:rPr>
          <w:i/>
          <w:sz w:val="24"/>
        </w:rPr>
        <w:t>United States v. Gaudin</w:t>
      </w:r>
      <w:r w:rsidR="008F53FA" w:rsidRPr="00B45B9D">
        <w:rPr>
          <w:sz w:val="24"/>
        </w:rPr>
        <w:t xml:space="preserve">, </w:t>
      </w:r>
      <w:r w:rsidR="00AC3FC6" w:rsidRPr="00B45B9D">
        <w:rPr>
          <w:sz w:val="24"/>
        </w:rPr>
        <w:t>515 U.S. 506, 510, 115 S. Ct. 2310, 2313, 132 L. Ed. 2d 444</w:t>
      </w:r>
      <w:r w:rsidR="008F53FA" w:rsidRPr="00B45B9D">
        <w:rPr>
          <w:sz w:val="24"/>
        </w:rPr>
        <w:t xml:space="preserve"> (1995).</w:t>
      </w:r>
      <w:r w:rsidR="003E5314" w:rsidRPr="00B45B9D">
        <w:rPr>
          <w:sz w:val="24"/>
        </w:rPr>
        <w:t xml:space="preserve"> </w:t>
      </w:r>
    </w:p>
    <w:p w14:paraId="43F5A30A" w14:textId="68CC46AB" w:rsidR="001803F0" w:rsidRPr="00B45B9D" w:rsidRDefault="003E5314" w:rsidP="00243E28">
      <w:pPr>
        <w:spacing w:line="480" w:lineRule="auto"/>
        <w:ind w:firstLine="720"/>
        <w:jc w:val="both"/>
        <w:rPr>
          <w:sz w:val="24"/>
        </w:rPr>
      </w:pPr>
      <w:r w:rsidRPr="00B45B9D">
        <w:rPr>
          <w:sz w:val="24"/>
        </w:rPr>
        <w:t>From the earliest days of the common law through the colonial period, the right to a jury trial was inextricable from the right to a unanimous jury trial. 3 William Blackstone, Commentarie</w:t>
      </w:r>
      <w:r w:rsidR="00777D7F" w:rsidRPr="00B45B9D">
        <w:rPr>
          <w:sz w:val="24"/>
        </w:rPr>
        <w:t xml:space="preserve">s on the Laws of England </w:t>
      </w:r>
      <w:r w:rsidR="008465AD" w:rsidRPr="00B45B9D">
        <w:rPr>
          <w:sz w:val="24"/>
        </w:rPr>
        <w:t>379</w:t>
      </w:r>
      <w:r w:rsidRPr="00B45B9D">
        <w:rPr>
          <w:sz w:val="24"/>
        </w:rPr>
        <w:t xml:space="preserve"> (1769)</w:t>
      </w:r>
      <w:r w:rsidR="008465AD" w:rsidRPr="00B45B9D">
        <w:rPr>
          <w:sz w:val="24"/>
        </w:rPr>
        <w:t xml:space="preserve"> (conviction requires the “unanimous </w:t>
      </w:r>
      <w:r w:rsidR="008465AD" w:rsidRPr="00B45B9D">
        <w:rPr>
          <w:sz w:val="24"/>
        </w:rPr>
        <w:lastRenderedPageBreak/>
        <w:t>consent” of the jury)</w:t>
      </w:r>
      <w:r w:rsidRPr="00B45B9D">
        <w:rPr>
          <w:sz w:val="24"/>
        </w:rPr>
        <w:t xml:space="preserve">. In </w:t>
      </w:r>
      <w:r w:rsidR="00777D7F" w:rsidRPr="00B45B9D">
        <w:rPr>
          <w:i/>
          <w:sz w:val="24"/>
        </w:rPr>
        <w:t>Ramos v. Louisiana</w:t>
      </w:r>
      <w:r w:rsidRPr="00B45B9D">
        <w:rPr>
          <w:sz w:val="24"/>
        </w:rPr>
        <w:t>, the State of Louisiana attempts to argue that jury unanimity is not required at all by the Sixth Amendment.</w:t>
      </w:r>
      <w:r w:rsidR="008465AD" w:rsidRPr="00B45B9D">
        <w:rPr>
          <w:sz w:val="24"/>
        </w:rPr>
        <w:t xml:space="preserve"> </w:t>
      </w:r>
      <w:r w:rsidR="00777D7F" w:rsidRPr="00B45B9D">
        <w:rPr>
          <w:i/>
          <w:sz w:val="24"/>
        </w:rPr>
        <w:t>Brief of Respondent</w:t>
      </w:r>
      <w:r w:rsidR="008465AD" w:rsidRPr="00B45B9D">
        <w:rPr>
          <w:sz w:val="24"/>
        </w:rPr>
        <w:t>, 2019 WL 3942901 at 4 (U.S. 2019).</w:t>
      </w:r>
      <w:r w:rsidRPr="00B45B9D">
        <w:rPr>
          <w:sz w:val="24"/>
        </w:rPr>
        <w:t xml:space="preserve"> </w:t>
      </w:r>
      <w:r w:rsidR="00D874D5" w:rsidRPr="00B45B9D">
        <w:rPr>
          <w:sz w:val="24"/>
        </w:rPr>
        <w:t>Such an</w:t>
      </w:r>
      <w:r w:rsidR="008465AD" w:rsidRPr="00B45B9D">
        <w:rPr>
          <w:sz w:val="24"/>
        </w:rPr>
        <w:t xml:space="preserve"> argument is foreclosed by a century of precedent</w:t>
      </w:r>
      <w:r w:rsidR="00777D7F" w:rsidRPr="00B45B9D">
        <w:rPr>
          <w:sz w:val="24"/>
        </w:rPr>
        <w:t>; the indispensability of unanimity in a jury trial has</w:t>
      </w:r>
      <w:r w:rsidR="008465AD" w:rsidRPr="00B45B9D">
        <w:rPr>
          <w:sz w:val="24"/>
        </w:rPr>
        <w:t xml:space="preserve"> been </w:t>
      </w:r>
      <w:r w:rsidR="00777D7F" w:rsidRPr="00B45B9D">
        <w:rPr>
          <w:sz w:val="24"/>
        </w:rPr>
        <w:t xml:space="preserve">consistently </w:t>
      </w:r>
      <w:r w:rsidR="008465AD" w:rsidRPr="00B45B9D">
        <w:rPr>
          <w:sz w:val="24"/>
        </w:rPr>
        <w:t xml:space="preserve">reaffirmed in Court opinions, including </w:t>
      </w:r>
      <w:r w:rsidR="00000D3A" w:rsidRPr="00B45B9D">
        <w:rPr>
          <w:sz w:val="24"/>
        </w:rPr>
        <w:t xml:space="preserve">one </w:t>
      </w:r>
      <w:r w:rsidR="008465AD" w:rsidRPr="00B45B9D">
        <w:rPr>
          <w:sz w:val="24"/>
        </w:rPr>
        <w:t xml:space="preserve">just last term. </w:t>
      </w:r>
      <w:r w:rsidR="008465AD" w:rsidRPr="00B45B9D">
        <w:rPr>
          <w:i/>
          <w:sz w:val="24"/>
        </w:rPr>
        <w:t>United States v. Haymond</w:t>
      </w:r>
      <w:r w:rsidR="008465AD" w:rsidRPr="00B45B9D">
        <w:rPr>
          <w:sz w:val="24"/>
        </w:rPr>
        <w:t xml:space="preserve">, </w:t>
      </w:r>
      <w:r w:rsidR="00777D7F" w:rsidRPr="00B45B9D">
        <w:rPr>
          <w:sz w:val="24"/>
        </w:rPr>
        <w:t xml:space="preserve">139 S. Ct. 2369, 2376, 204 L. Ed. 2d 897 </w:t>
      </w:r>
      <w:r w:rsidR="008465AD" w:rsidRPr="00B45B9D">
        <w:rPr>
          <w:sz w:val="24"/>
        </w:rPr>
        <w:t>(2019). Moreover,</w:t>
      </w:r>
      <w:r w:rsidR="001803F0" w:rsidRPr="00B45B9D">
        <w:rPr>
          <w:sz w:val="24"/>
        </w:rPr>
        <w:t xml:space="preserve"> that rule is not even supported by</w:t>
      </w:r>
      <w:r w:rsidR="008465AD" w:rsidRPr="00B45B9D">
        <w:rPr>
          <w:sz w:val="24"/>
        </w:rPr>
        <w:t xml:space="preserve"> </w:t>
      </w:r>
      <w:r w:rsidR="008465AD" w:rsidRPr="00B45B9D">
        <w:rPr>
          <w:i/>
          <w:sz w:val="24"/>
        </w:rPr>
        <w:t>Apodaca</w:t>
      </w:r>
      <w:r w:rsidR="008465AD" w:rsidRPr="00B45B9D">
        <w:rPr>
          <w:sz w:val="24"/>
        </w:rPr>
        <w:t xml:space="preserve">: </w:t>
      </w:r>
      <w:r w:rsidR="001803F0" w:rsidRPr="00B45B9D">
        <w:rPr>
          <w:sz w:val="24"/>
        </w:rPr>
        <w:t>its</w:t>
      </w:r>
      <w:r w:rsidR="008465AD" w:rsidRPr="00B45B9D">
        <w:rPr>
          <w:sz w:val="24"/>
        </w:rPr>
        <w:t xml:space="preserve"> holding was, as previously discussed, that the Sixth Amendment required unanimity, but the states were not bound by that requirement. 406 U.S. at 369-71 (Powell, J., concurring). </w:t>
      </w:r>
      <w:r w:rsidR="00777D7F" w:rsidRPr="00B45B9D">
        <w:rPr>
          <w:sz w:val="24"/>
        </w:rPr>
        <w:t>In oral arguments, the Court made it clear</w:t>
      </w:r>
      <w:r w:rsidR="001039DE" w:rsidRPr="00B45B9D">
        <w:rPr>
          <w:sz w:val="24"/>
        </w:rPr>
        <w:t xml:space="preserve"> that </w:t>
      </w:r>
      <w:r w:rsidR="00C22B3A" w:rsidRPr="00B45B9D">
        <w:rPr>
          <w:sz w:val="24"/>
        </w:rPr>
        <w:t>they were skeptical of</w:t>
      </w:r>
      <w:r w:rsidR="001039DE" w:rsidRPr="00B45B9D">
        <w:rPr>
          <w:sz w:val="24"/>
        </w:rPr>
        <w:t xml:space="preserve"> </w:t>
      </w:r>
      <w:r w:rsidR="001803F0" w:rsidRPr="00B45B9D">
        <w:rPr>
          <w:sz w:val="24"/>
        </w:rPr>
        <w:t>the</w:t>
      </w:r>
      <w:r w:rsidR="00777D7F" w:rsidRPr="00B45B9D">
        <w:rPr>
          <w:sz w:val="24"/>
        </w:rPr>
        <w:t xml:space="preserve"> State of Louisiana’s position</w:t>
      </w:r>
      <w:r w:rsidR="00C22B3A" w:rsidRPr="00B45B9D">
        <w:rPr>
          <w:sz w:val="24"/>
        </w:rPr>
        <w:t xml:space="preserve"> </w:t>
      </w:r>
      <w:r w:rsidR="00FA438E" w:rsidRPr="00B45B9D">
        <w:rPr>
          <w:sz w:val="24"/>
        </w:rPr>
        <w:t>that</w:t>
      </w:r>
      <w:r w:rsidR="00777D7F" w:rsidRPr="00B45B9D">
        <w:rPr>
          <w:sz w:val="24"/>
        </w:rPr>
        <w:t xml:space="preserve"> stare decisis </w:t>
      </w:r>
      <w:r w:rsidR="00FA438E" w:rsidRPr="00B45B9D">
        <w:rPr>
          <w:sz w:val="24"/>
        </w:rPr>
        <w:t>applies to</w:t>
      </w:r>
      <w:r w:rsidR="00777D7F" w:rsidRPr="00B45B9D">
        <w:rPr>
          <w:sz w:val="24"/>
        </w:rPr>
        <w:t xml:space="preserve"> </w:t>
      </w:r>
      <w:r w:rsidR="00777D7F" w:rsidRPr="00B45B9D">
        <w:rPr>
          <w:i/>
          <w:sz w:val="24"/>
        </w:rPr>
        <w:t>Apodaca</w:t>
      </w:r>
      <w:r w:rsidR="00FA438E" w:rsidRPr="00B45B9D">
        <w:rPr>
          <w:i/>
          <w:sz w:val="24"/>
        </w:rPr>
        <w:t xml:space="preserve">’s </w:t>
      </w:r>
      <w:r w:rsidR="00FA438E" w:rsidRPr="00B45B9D">
        <w:rPr>
          <w:iCs/>
          <w:sz w:val="24"/>
        </w:rPr>
        <w:t xml:space="preserve">partial incorporation of </w:t>
      </w:r>
      <w:r w:rsidR="00A23B23" w:rsidRPr="00B45B9D">
        <w:rPr>
          <w:iCs/>
          <w:sz w:val="24"/>
        </w:rPr>
        <w:t>the Sixth Amendment</w:t>
      </w:r>
      <w:r w:rsidR="00777D7F" w:rsidRPr="00B45B9D">
        <w:rPr>
          <w:sz w:val="24"/>
        </w:rPr>
        <w:t xml:space="preserve">, but </w:t>
      </w:r>
      <w:r w:rsidR="00A23B23" w:rsidRPr="00B45B9D">
        <w:rPr>
          <w:sz w:val="24"/>
        </w:rPr>
        <w:t>not to</w:t>
      </w:r>
      <w:r w:rsidR="00777D7F" w:rsidRPr="00B45B9D">
        <w:rPr>
          <w:sz w:val="24"/>
        </w:rPr>
        <w:t xml:space="preserve"> its</w:t>
      </w:r>
      <w:r w:rsidR="00A23B23" w:rsidRPr="00B45B9D">
        <w:rPr>
          <w:sz w:val="24"/>
        </w:rPr>
        <w:t xml:space="preserve"> majority </w:t>
      </w:r>
      <w:r w:rsidR="00777D7F" w:rsidRPr="00B45B9D">
        <w:rPr>
          <w:sz w:val="24"/>
        </w:rPr>
        <w:t xml:space="preserve">holding </w:t>
      </w:r>
      <w:r w:rsidR="001039DE" w:rsidRPr="00B45B9D">
        <w:rPr>
          <w:sz w:val="24"/>
        </w:rPr>
        <w:t>that the Sixth Amendment</w:t>
      </w:r>
      <w:r w:rsidR="00777D7F" w:rsidRPr="00B45B9D">
        <w:rPr>
          <w:sz w:val="24"/>
        </w:rPr>
        <w:t xml:space="preserve"> require</w:t>
      </w:r>
      <w:r w:rsidR="00A23B23" w:rsidRPr="00B45B9D">
        <w:rPr>
          <w:sz w:val="24"/>
        </w:rPr>
        <w:t>s</w:t>
      </w:r>
      <w:r w:rsidR="00777D7F" w:rsidRPr="00B45B9D">
        <w:rPr>
          <w:sz w:val="24"/>
        </w:rPr>
        <w:t xml:space="preserve"> unanimity.</w:t>
      </w:r>
      <w:r w:rsidR="00777D7F" w:rsidRPr="00B45B9D">
        <w:rPr>
          <w:rStyle w:val="FootnoteReference"/>
          <w:sz w:val="24"/>
        </w:rPr>
        <w:footnoteReference w:id="7"/>
      </w:r>
      <w:r w:rsidR="00777D7F" w:rsidRPr="00B45B9D">
        <w:rPr>
          <w:sz w:val="24"/>
        </w:rPr>
        <w:t xml:space="preserve"> </w:t>
      </w:r>
    </w:p>
    <w:p w14:paraId="69839A9B" w14:textId="278917B5" w:rsidR="003E5314" w:rsidRPr="00B45B9D" w:rsidRDefault="001803F0" w:rsidP="00243E28">
      <w:pPr>
        <w:spacing w:line="480" w:lineRule="auto"/>
        <w:ind w:firstLine="720"/>
        <w:jc w:val="both"/>
        <w:rPr>
          <w:sz w:val="24"/>
        </w:rPr>
      </w:pPr>
      <w:r w:rsidRPr="00B45B9D">
        <w:rPr>
          <w:sz w:val="24"/>
        </w:rPr>
        <w:lastRenderedPageBreak/>
        <w:t xml:space="preserve">To proceed with a felony trial without requiring jury unanimity for a conviction would violate </w:t>
      </w:r>
      <w:r w:rsidR="004453BE">
        <w:rPr>
          <w:sz w:val="24"/>
          <w:lang w:val="en-CA"/>
        </w:rPr>
        <w:t>[</w:t>
      </w:r>
      <w:r w:rsidR="004453BE" w:rsidRPr="000726DA">
        <w:rPr>
          <w:sz w:val="24"/>
          <w:highlight w:val="yellow"/>
          <w:lang w:val="en-CA"/>
        </w:rPr>
        <w:t>NAME OF CLIENT</w:t>
      </w:r>
      <w:r w:rsidR="004453BE">
        <w:rPr>
          <w:sz w:val="24"/>
          <w:lang w:val="en-CA"/>
        </w:rPr>
        <w:t>]</w:t>
      </w:r>
      <w:r w:rsidRPr="00B45B9D">
        <w:rPr>
          <w:sz w:val="24"/>
        </w:rPr>
        <w:t xml:space="preserve">’s Sixth </w:t>
      </w:r>
      <w:r w:rsidR="00807F69" w:rsidRPr="00B45B9D">
        <w:rPr>
          <w:sz w:val="24"/>
        </w:rPr>
        <w:t xml:space="preserve">and Fourteenth </w:t>
      </w:r>
      <w:r w:rsidRPr="00B45B9D">
        <w:rPr>
          <w:sz w:val="24"/>
        </w:rPr>
        <w:t>Amendment right</w:t>
      </w:r>
      <w:r w:rsidR="00807F69" w:rsidRPr="00B45B9D">
        <w:rPr>
          <w:sz w:val="24"/>
        </w:rPr>
        <w:t>s</w:t>
      </w:r>
      <w:r w:rsidRPr="00B45B9D">
        <w:rPr>
          <w:sz w:val="24"/>
        </w:rPr>
        <w:t xml:space="preserve"> to a unanimous jury verdict. The U.S. Supreme Court will shortly </w:t>
      </w:r>
      <w:r w:rsidR="000E7513" w:rsidRPr="00B45B9D">
        <w:rPr>
          <w:sz w:val="24"/>
        </w:rPr>
        <w:t>rule on</w:t>
      </w:r>
      <w:r w:rsidRPr="00B45B9D">
        <w:rPr>
          <w:sz w:val="24"/>
        </w:rPr>
        <w:t xml:space="preserve"> this </w:t>
      </w:r>
      <w:r w:rsidR="000E7513" w:rsidRPr="00B45B9D">
        <w:rPr>
          <w:sz w:val="24"/>
        </w:rPr>
        <w:t>very issue</w:t>
      </w:r>
      <w:r w:rsidRPr="00B45B9D">
        <w:rPr>
          <w:sz w:val="24"/>
        </w:rPr>
        <w:t xml:space="preserve"> and require such a jury verdict. Therefore, this court should order any trial in </w:t>
      </w:r>
      <w:r w:rsidR="0075580A">
        <w:rPr>
          <w:sz w:val="24"/>
          <w:lang w:val="en-CA"/>
        </w:rPr>
        <w:t>[</w:t>
      </w:r>
      <w:r w:rsidR="0075580A" w:rsidRPr="000726DA">
        <w:rPr>
          <w:sz w:val="24"/>
          <w:highlight w:val="yellow"/>
          <w:lang w:val="en-CA"/>
        </w:rPr>
        <w:t>NAME OF CLIENT</w:t>
      </w:r>
      <w:r w:rsidR="0075580A">
        <w:rPr>
          <w:sz w:val="24"/>
          <w:lang w:val="en-CA"/>
        </w:rPr>
        <w:t>]</w:t>
      </w:r>
      <w:r w:rsidRPr="00B45B9D">
        <w:rPr>
          <w:sz w:val="24"/>
        </w:rPr>
        <w:t xml:space="preserve">’s </w:t>
      </w:r>
      <w:r w:rsidR="00AA20ED" w:rsidRPr="00B45B9D">
        <w:rPr>
          <w:sz w:val="24"/>
        </w:rPr>
        <w:t xml:space="preserve">case </w:t>
      </w:r>
      <w:r w:rsidRPr="00B45B9D">
        <w:rPr>
          <w:sz w:val="24"/>
        </w:rPr>
        <w:t>to be determined by a unanimous jury verdict</w:t>
      </w:r>
      <w:r w:rsidR="00126CEC" w:rsidRPr="00B45B9D">
        <w:rPr>
          <w:sz w:val="24"/>
        </w:rPr>
        <w:t xml:space="preserve">, </w:t>
      </w:r>
      <w:r w:rsidR="00AD731F" w:rsidRPr="00B45B9D">
        <w:rPr>
          <w:sz w:val="24"/>
        </w:rPr>
        <w:t xml:space="preserve">or </w:t>
      </w:r>
      <w:r w:rsidR="00B73B90" w:rsidRPr="00B45B9D">
        <w:rPr>
          <w:sz w:val="24"/>
        </w:rPr>
        <w:t xml:space="preserve">at least, </w:t>
      </w:r>
      <w:r w:rsidR="00AD731F" w:rsidRPr="00B45B9D">
        <w:rPr>
          <w:sz w:val="24"/>
        </w:rPr>
        <w:t>stay the trial until the ruling on this very issue is handed down by the U.S. Supreme Court.</w:t>
      </w:r>
    </w:p>
    <w:p w14:paraId="72A583B4" w14:textId="77777777" w:rsidR="001D3814" w:rsidRPr="00B45B9D" w:rsidRDefault="001D3814" w:rsidP="001D3814">
      <w:pPr>
        <w:spacing w:line="480" w:lineRule="auto"/>
        <w:jc w:val="both"/>
        <w:rPr>
          <w:sz w:val="24"/>
        </w:rPr>
      </w:pPr>
    </w:p>
    <w:p w14:paraId="40A8EB58" w14:textId="01A645C2" w:rsidR="00AD6C71" w:rsidRPr="00B45B9D" w:rsidRDefault="007B45C6" w:rsidP="00B45B9D">
      <w:pPr>
        <w:pStyle w:val="ListParagraph"/>
        <w:numPr>
          <w:ilvl w:val="0"/>
          <w:numId w:val="22"/>
        </w:numPr>
        <w:jc w:val="both"/>
        <w:rPr>
          <w:b/>
          <w:sz w:val="24"/>
        </w:rPr>
      </w:pPr>
      <w:r w:rsidRPr="00B45B9D">
        <w:rPr>
          <w:b/>
          <w:sz w:val="24"/>
        </w:rPr>
        <w:t xml:space="preserve">Non-Unanimous Jury Verdicts Were Introduced In Louisiana For The Purpose Of Discriminating Against African-Americans And Cause A Disparate </w:t>
      </w:r>
      <w:r w:rsidR="00C374F4" w:rsidRPr="00B45B9D">
        <w:rPr>
          <w:b/>
          <w:sz w:val="24"/>
        </w:rPr>
        <w:t xml:space="preserve">Racial </w:t>
      </w:r>
      <w:r w:rsidRPr="00B45B9D">
        <w:rPr>
          <w:b/>
          <w:sz w:val="24"/>
        </w:rPr>
        <w:t>Impact</w:t>
      </w:r>
      <w:r w:rsidR="00C374F4" w:rsidRPr="00B45B9D">
        <w:rPr>
          <w:b/>
          <w:sz w:val="24"/>
        </w:rPr>
        <w:t xml:space="preserve"> in Violation of</w:t>
      </w:r>
      <w:r w:rsidRPr="00B45B9D">
        <w:rPr>
          <w:b/>
          <w:sz w:val="24"/>
        </w:rPr>
        <w:t xml:space="preserve"> The </w:t>
      </w:r>
      <w:r w:rsidR="00914B2C" w:rsidRPr="00B45B9D">
        <w:rPr>
          <w:b/>
          <w:sz w:val="24"/>
        </w:rPr>
        <w:t xml:space="preserve">Equal Protection Clause of the </w:t>
      </w:r>
      <w:r w:rsidRPr="00B45B9D">
        <w:rPr>
          <w:b/>
          <w:sz w:val="24"/>
        </w:rPr>
        <w:t>Fourteenth Amendment.</w:t>
      </w:r>
    </w:p>
    <w:p w14:paraId="48175767" w14:textId="36C8C092" w:rsidR="00224643" w:rsidRPr="00B45B9D" w:rsidRDefault="00224643" w:rsidP="001D3814">
      <w:pPr>
        <w:pStyle w:val="Numberedparagraph"/>
        <w:numPr>
          <w:ilvl w:val="0"/>
          <w:numId w:val="0"/>
        </w:numPr>
        <w:spacing w:line="240" w:lineRule="auto"/>
        <w:jc w:val="left"/>
        <w:rPr>
          <w:b/>
        </w:rPr>
      </w:pPr>
    </w:p>
    <w:p w14:paraId="1BBD67A9" w14:textId="4F4C180B" w:rsidR="00C713C5" w:rsidRPr="00B45B9D" w:rsidRDefault="00361250" w:rsidP="006825DD">
      <w:pPr>
        <w:spacing w:line="480" w:lineRule="auto"/>
        <w:ind w:firstLine="720"/>
        <w:jc w:val="both"/>
        <w:rPr>
          <w:sz w:val="24"/>
        </w:rPr>
      </w:pPr>
      <w:r w:rsidRPr="00B45B9D">
        <w:rPr>
          <w:sz w:val="24"/>
        </w:rPr>
        <w:t>T</w:t>
      </w:r>
      <w:r w:rsidR="00D133E0" w:rsidRPr="00B45B9D">
        <w:rPr>
          <w:sz w:val="24"/>
        </w:rPr>
        <w:t xml:space="preserve">he Louisiana law allowing convictions based on a non-unanimous jury vote was originally </w:t>
      </w:r>
      <w:r w:rsidR="00AD6C71" w:rsidRPr="00B45B9D">
        <w:rPr>
          <w:sz w:val="24"/>
        </w:rPr>
        <w:t>passed</w:t>
      </w:r>
      <w:r w:rsidR="00D133E0" w:rsidRPr="00B45B9D">
        <w:rPr>
          <w:sz w:val="24"/>
        </w:rPr>
        <w:t xml:space="preserve"> as a part of the 1898 Constitutional Convention’s attempts to wrest all political and judicial power away from </w:t>
      </w:r>
      <w:r w:rsidR="00331895" w:rsidRPr="00B45B9D">
        <w:rPr>
          <w:sz w:val="24"/>
        </w:rPr>
        <w:t>African-American</w:t>
      </w:r>
      <w:r w:rsidR="00D133E0" w:rsidRPr="00B45B9D">
        <w:rPr>
          <w:sz w:val="24"/>
        </w:rPr>
        <w:t xml:space="preserve"> Louisianans and to enshrine the </w:t>
      </w:r>
      <w:r w:rsidR="00061C03" w:rsidRPr="00B45B9D">
        <w:rPr>
          <w:sz w:val="24"/>
        </w:rPr>
        <w:lastRenderedPageBreak/>
        <w:t xml:space="preserve">political </w:t>
      </w:r>
      <w:r w:rsidR="00D133E0" w:rsidRPr="00B45B9D">
        <w:rPr>
          <w:sz w:val="24"/>
        </w:rPr>
        <w:t>supremacy of the white race</w:t>
      </w:r>
      <w:r w:rsidR="00947BB3" w:rsidRPr="00B45B9D">
        <w:rPr>
          <w:sz w:val="24"/>
        </w:rPr>
        <w:t xml:space="preserve">. </w:t>
      </w:r>
      <w:r w:rsidR="002E2EF0" w:rsidRPr="00B45B9D">
        <w:rPr>
          <w:sz w:val="24"/>
        </w:rPr>
        <w:t xml:space="preserve">The practice </w:t>
      </w:r>
      <w:r w:rsidR="00331895" w:rsidRPr="00B45B9D">
        <w:rPr>
          <w:sz w:val="24"/>
        </w:rPr>
        <w:t xml:space="preserve">violates the </w:t>
      </w:r>
      <w:r w:rsidR="004A3432" w:rsidRPr="00B45B9D">
        <w:rPr>
          <w:sz w:val="24"/>
        </w:rPr>
        <w:t>Equal Protection C</w:t>
      </w:r>
      <w:r w:rsidR="00861593" w:rsidRPr="00B45B9D">
        <w:rPr>
          <w:sz w:val="24"/>
        </w:rPr>
        <w:t xml:space="preserve">lause of the </w:t>
      </w:r>
      <w:r w:rsidR="002E2EF0" w:rsidRPr="00B45B9D">
        <w:rPr>
          <w:sz w:val="24"/>
        </w:rPr>
        <w:t>Fourteenth</w:t>
      </w:r>
      <w:r w:rsidR="00331895" w:rsidRPr="00B45B9D">
        <w:rPr>
          <w:sz w:val="24"/>
        </w:rPr>
        <w:t xml:space="preserve"> Amendment </w:t>
      </w:r>
      <w:r w:rsidR="00EA6F0B" w:rsidRPr="00B45B9D">
        <w:rPr>
          <w:sz w:val="24"/>
        </w:rPr>
        <w:t xml:space="preserve">because </w:t>
      </w:r>
      <w:r w:rsidR="00331895" w:rsidRPr="00B45B9D">
        <w:rPr>
          <w:sz w:val="24"/>
        </w:rPr>
        <w:t xml:space="preserve">racial discrimination </w:t>
      </w:r>
      <w:r w:rsidR="00061C03" w:rsidRPr="00B45B9D">
        <w:rPr>
          <w:sz w:val="24"/>
        </w:rPr>
        <w:t>was</w:t>
      </w:r>
      <w:r w:rsidR="00331895" w:rsidRPr="00B45B9D">
        <w:rPr>
          <w:sz w:val="24"/>
        </w:rPr>
        <w:t xml:space="preserve"> a substantial or motivating</w:t>
      </w:r>
      <w:r w:rsidR="00EA6F0B" w:rsidRPr="00B45B9D">
        <w:rPr>
          <w:sz w:val="24"/>
        </w:rPr>
        <w:t xml:space="preserve"> factor behind its introduction. </w:t>
      </w:r>
      <w:r w:rsidR="00EA6F0B" w:rsidRPr="00B45B9D">
        <w:rPr>
          <w:i/>
          <w:sz w:val="24"/>
        </w:rPr>
        <w:t>Arlington Heights v. Metropolitan Housing Corp</w:t>
      </w:r>
      <w:r w:rsidR="00EA6F0B" w:rsidRPr="00B45B9D">
        <w:rPr>
          <w:sz w:val="24"/>
        </w:rPr>
        <w:t xml:space="preserve">, 429 U.S. 252, 266-68, 97 S. Ct. 555, 565-66, 50 L. Ed. 2d 450 (1977). </w:t>
      </w:r>
      <w:r w:rsidR="00EA6F0B" w:rsidRPr="00B45B9D">
        <w:rPr>
          <w:i/>
          <w:sz w:val="24"/>
        </w:rPr>
        <w:t xml:space="preserve"> </w:t>
      </w:r>
      <w:r w:rsidR="00F5616C" w:rsidRPr="00B45B9D">
        <w:rPr>
          <w:sz w:val="24"/>
        </w:rPr>
        <w:t xml:space="preserve">In deciding whether a statute </w:t>
      </w:r>
      <w:r w:rsidR="004A3432" w:rsidRPr="00B45B9D">
        <w:rPr>
          <w:sz w:val="24"/>
        </w:rPr>
        <w:t>violates</w:t>
      </w:r>
      <w:r w:rsidR="00EA6F0B" w:rsidRPr="00B45B9D">
        <w:rPr>
          <w:sz w:val="24"/>
        </w:rPr>
        <w:t xml:space="preserve"> the Fourteenth Amendment based on its racially discriminatory origins, a court </w:t>
      </w:r>
      <w:r w:rsidR="00E16B7C" w:rsidRPr="00B45B9D">
        <w:rPr>
          <w:sz w:val="24"/>
        </w:rPr>
        <w:t>must</w:t>
      </w:r>
      <w:r w:rsidR="00EA6F0B" w:rsidRPr="00B45B9D">
        <w:rPr>
          <w:sz w:val="24"/>
        </w:rPr>
        <w:t xml:space="preserve"> consider </w:t>
      </w:r>
      <w:r w:rsidR="00331895" w:rsidRPr="00B45B9D">
        <w:rPr>
          <w:sz w:val="24"/>
        </w:rPr>
        <w:t xml:space="preserve">five factors </w:t>
      </w:r>
      <w:r w:rsidR="00EA6F0B" w:rsidRPr="00B45B9D">
        <w:rPr>
          <w:sz w:val="24"/>
        </w:rPr>
        <w:t>to determine</w:t>
      </w:r>
      <w:r w:rsidR="00331895" w:rsidRPr="00B45B9D">
        <w:rPr>
          <w:sz w:val="24"/>
        </w:rPr>
        <w:t xml:space="preserve"> whether </w:t>
      </w:r>
      <w:r w:rsidR="00E16B7C" w:rsidRPr="00B45B9D">
        <w:rPr>
          <w:sz w:val="24"/>
        </w:rPr>
        <w:t>the</w:t>
      </w:r>
      <w:r w:rsidR="00331895" w:rsidRPr="00B45B9D">
        <w:rPr>
          <w:sz w:val="24"/>
        </w:rPr>
        <w:t xml:space="preserve"> enactment was motivated by the substantial pur</w:t>
      </w:r>
      <w:r w:rsidR="00061C03" w:rsidRPr="00B45B9D">
        <w:rPr>
          <w:sz w:val="24"/>
        </w:rPr>
        <w:t>pose of racial discrimination: (1) h</w:t>
      </w:r>
      <w:r w:rsidR="00331895" w:rsidRPr="00B45B9D">
        <w:rPr>
          <w:sz w:val="24"/>
        </w:rPr>
        <w:t xml:space="preserve">istorical background of the enactment; </w:t>
      </w:r>
      <w:r w:rsidR="00061C03" w:rsidRPr="00B45B9D">
        <w:rPr>
          <w:sz w:val="24"/>
        </w:rPr>
        <w:t xml:space="preserve">(2) </w:t>
      </w:r>
      <w:r w:rsidR="00331895" w:rsidRPr="00B45B9D">
        <w:rPr>
          <w:sz w:val="24"/>
        </w:rPr>
        <w:t xml:space="preserve">sequence of events leading to the enactment; </w:t>
      </w:r>
      <w:r w:rsidR="00061C03" w:rsidRPr="00B45B9D">
        <w:rPr>
          <w:sz w:val="24"/>
        </w:rPr>
        <w:t xml:space="preserve">(3) </w:t>
      </w:r>
      <w:r w:rsidR="00331895" w:rsidRPr="00B45B9D">
        <w:rPr>
          <w:sz w:val="24"/>
        </w:rPr>
        <w:t xml:space="preserve">legislative history of the enactment; </w:t>
      </w:r>
      <w:r w:rsidR="00061C03" w:rsidRPr="00B45B9D">
        <w:rPr>
          <w:sz w:val="24"/>
        </w:rPr>
        <w:t xml:space="preserve">(4) </w:t>
      </w:r>
      <w:r w:rsidR="00331895" w:rsidRPr="00B45B9D">
        <w:rPr>
          <w:sz w:val="24"/>
        </w:rPr>
        <w:t>statements by decision makers; and</w:t>
      </w:r>
      <w:r w:rsidR="00061C03" w:rsidRPr="00B45B9D">
        <w:rPr>
          <w:sz w:val="24"/>
        </w:rPr>
        <w:t xml:space="preserve"> (5)</w:t>
      </w:r>
      <w:r w:rsidR="00331895" w:rsidRPr="00B45B9D">
        <w:rPr>
          <w:sz w:val="24"/>
        </w:rPr>
        <w:t xml:space="preserve"> the discriminatory effect of the enactment.</w:t>
      </w:r>
      <w:r w:rsidR="00B72488" w:rsidRPr="00B45B9D">
        <w:rPr>
          <w:sz w:val="24"/>
        </w:rPr>
        <w:t xml:space="preserve"> </w:t>
      </w:r>
      <w:r w:rsidR="00CA64ED" w:rsidRPr="00B45B9D">
        <w:rPr>
          <w:i/>
          <w:sz w:val="24"/>
        </w:rPr>
        <w:t>Id</w:t>
      </w:r>
      <w:r w:rsidR="00CA64ED" w:rsidRPr="00B45B9D">
        <w:rPr>
          <w:sz w:val="24"/>
        </w:rPr>
        <w:t xml:space="preserve">. </w:t>
      </w:r>
      <w:r w:rsidR="00B72488" w:rsidRPr="00B45B9D">
        <w:rPr>
          <w:sz w:val="24"/>
        </w:rPr>
        <w:t xml:space="preserve">The Supreme Court has </w:t>
      </w:r>
      <w:r w:rsidR="00CA64ED" w:rsidRPr="00B45B9D">
        <w:rPr>
          <w:sz w:val="24"/>
        </w:rPr>
        <w:t>repeatedly struck down statutes that were passed during the post-Reconstruction era when Southern states acting to restore white supremacy</w:t>
      </w:r>
      <w:r w:rsidR="00B72488" w:rsidRPr="00B45B9D">
        <w:rPr>
          <w:sz w:val="24"/>
        </w:rPr>
        <w:t>.</w:t>
      </w:r>
      <w:r w:rsidR="00331895" w:rsidRPr="00B45B9D">
        <w:rPr>
          <w:sz w:val="24"/>
          <w:vertAlign w:val="superscript"/>
        </w:rPr>
        <w:footnoteReference w:id="8"/>
      </w:r>
      <w:r w:rsidR="00B72488" w:rsidRPr="00B45B9D">
        <w:rPr>
          <w:sz w:val="24"/>
        </w:rPr>
        <w:t xml:space="preserve"> The non-</w:t>
      </w:r>
      <w:r w:rsidR="00B72488" w:rsidRPr="00B45B9D">
        <w:rPr>
          <w:sz w:val="24"/>
        </w:rPr>
        <w:lastRenderedPageBreak/>
        <w:t xml:space="preserve">unanimous jury verdict law was passed </w:t>
      </w:r>
      <w:r w:rsidR="00CA64ED" w:rsidRPr="00B45B9D">
        <w:rPr>
          <w:sz w:val="24"/>
        </w:rPr>
        <w:t xml:space="preserve">in this way and for this racially discriminatory purpose </w:t>
      </w:r>
      <w:r w:rsidR="00B72488" w:rsidRPr="00B45B9D">
        <w:rPr>
          <w:sz w:val="24"/>
        </w:rPr>
        <w:t>during the post-Reconstruction</w:t>
      </w:r>
      <w:r w:rsidR="00CA64ED" w:rsidRPr="00B45B9D">
        <w:rPr>
          <w:sz w:val="24"/>
        </w:rPr>
        <w:t xml:space="preserve"> 1898 Constitutional Convention</w:t>
      </w:r>
      <w:r w:rsidR="00EB605A" w:rsidRPr="00B45B9D">
        <w:rPr>
          <w:sz w:val="24"/>
        </w:rPr>
        <w:t>.</w:t>
      </w:r>
      <w:r w:rsidR="00C713C5" w:rsidRPr="00B45B9D">
        <w:rPr>
          <w:sz w:val="24"/>
        </w:rPr>
        <w:t xml:space="preserve"> </w:t>
      </w:r>
      <w:r w:rsidR="009613E3" w:rsidRPr="00B45B9D">
        <w:rPr>
          <w:sz w:val="24"/>
        </w:rPr>
        <w:t>Thomas Ward Frampton, </w:t>
      </w:r>
      <w:r w:rsidR="009613E3" w:rsidRPr="00B45B9D">
        <w:rPr>
          <w:i/>
          <w:sz w:val="24"/>
        </w:rPr>
        <w:t>The Jim Crow Jury</w:t>
      </w:r>
      <w:r w:rsidR="009613E3" w:rsidRPr="00B45B9D">
        <w:rPr>
          <w:sz w:val="24"/>
        </w:rPr>
        <w:t>, 71 Vand. L. Rev. 1593, 1609 (2018) (“We are here upon the eve of a constitutional convention [in Louisiana], the avowed purpose of which is to disfra</w:t>
      </w:r>
      <w:r w:rsidR="00C713C5" w:rsidRPr="00B45B9D">
        <w:rPr>
          <w:sz w:val="24"/>
        </w:rPr>
        <w:t>nchise the colored citizens.</w:t>
      </w:r>
      <w:r w:rsidR="009613E3" w:rsidRPr="00B45B9D">
        <w:rPr>
          <w:sz w:val="24"/>
        </w:rPr>
        <w:t xml:space="preserve">”). </w:t>
      </w:r>
      <w:r w:rsidR="00CA64ED" w:rsidRPr="00B45B9D">
        <w:rPr>
          <w:sz w:val="24"/>
        </w:rPr>
        <w:t>Louisiana courts have held that the statute violates the constitution</w:t>
      </w:r>
      <w:r w:rsidR="009613E3" w:rsidRPr="00B45B9D">
        <w:rPr>
          <w:sz w:val="24"/>
        </w:rPr>
        <w:t xml:space="preserve"> based on </w:t>
      </w:r>
      <w:r w:rsidR="00C713C5" w:rsidRPr="00B45B9D">
        <w:rPr>
          <w:sz w:val="24"/>
        </w:rPr>
        <w:t xml:space="preserve">an </w:t>
      </w:r>
      <w:r w:rsidR="009613E3" w:rsidRPr="00B45B9D">
        <w:rPr>
          <w:sz w:val="24"/>
        </w:rPr>
        <w:t xml:space="preserve">evidentiary </w:t>
      </w:r>
      <w:r w:rsidR="00C713C5" w:rsidRPr="00B45B9D">
        <w:rPr>
          <w:sz w:val="24"/>
        </w:rPr>
        <w:t>hearing that established</w:t>
      </w:r>
      <w:r w:rsidR="00CA64ED" w:rsidRPr="00B45B9D">
        <w:rPr>
          <w:sz w:val="24"/>
        </w:rPr>
        <w:t xml:space="preserve"> its racially discriminatory history</w:t>
      </w:r>
      <w:r w:rsidR="00533982" w:rsidRPr="00B45B9D">
        <w:rPr>
          <w:sz w:val="24"/>
        </w:rPr>
        <w:t xml:space="preserve"> and its racially disparate impact</w:t>
      </w:r>
      <w:r w:rsidR="00CA64ED" w:rsidRPr="00B45B9D">
        <w:rPr>
          <w:sz w:val="24"/>
        </w:rPr>
        <w:t>.</w:t>
      </w:r>
      <w:r w:rsidR="009613E3" w:rsidRPr="00B45B9D">
        <w:rPr>
          <w:i/>
          <w:iCs/>
          <w:sz w:val="24"/>
        </w:rPr>
        <w:t xml:space="preserve"> State v. Maxie</w:t>
      </w:r>
      <w:r w:rsidR="00C713C5" w:rsidRPr="00B45B9D">
        <w:rPr>
          <w:i/>
          <w:iCs/>
          <w:sz w:val="24"/>
        </w:rPr>
        <w:t xml:space="preserve">, </w:t>
      </w:r>
      <w:r w:rsidR="00C713C5" w:rsidRPr="00B45B9D">
        <w:rPr>
          <w:iCs/>
          <w:sz w:val="24"/>
        </w:rPr>
        <w:t>13-CR-72522 (La. 11</w:t>
      </w:r>
      <w:r w:rsidR="00C713C5" w:rsidRPr="00B45B9D">
        <w:rPr>
          <w:iCs/>
          <w:sz w:val="24"/>
          <w:vertAlign w:val="superscript"/>
        </w:rPr>
        <w:t>th</w:t>
      </w:r>
      <w:r w:rsidR="00C713C5" w:rsidRPr="00B45B9D">
        <w:rPr>
          <w:iCs/>
          <w:sz w:val="24"/>
        </w:rPr>
        <w:t> JDC 10/11/18)</w:t>
      </w:r>
      <w:r w:rsidR="00C713C5" w:rsidRPr="00B45B9D">
        <w:rPr>
          <w:sz w:val="24"/>
        </w:rPr>
        <w:t>.</w:t>
      </w:r>
      <w:r w:rsidR="00C713C5" w:rsidRPr="00B45B9D">
        <w:rPr>
          <w:sz w:val="24"/>
          <w:vertAlign w:val="superscript"/>
        </w:rPr>
        <w:footnoteReference w:id="9"/>
      </w:r>
      <w:r w:rsidR="00C713C5" w:rsidRPr="00B45B9D">
        <w:rPr>
          <w:sz w:val="24"/>
        </w:rPr>
        <w:t xml:space="preserve"> Similarly, the Supreme Court in oral arguments in </w:t>
      </w:r>
      <w:r w:rsidR="00C713C5" w:rsidRPr="00B45B9D">
        <w:rPr>
          <w:i/>
          <w:sz w:val="24"/>
        </w:rPr>
        <w:t>Ramos</w:t>
      </w:r>
      <w:r w:rsidR="00C713C5" w:rsidRPr="00B45B9D">
        <w:rPr>
          <w:sz w:val="24"/>
        </w:rPr>
        <w:t xml:space="preserve"> suggested that the statute is unconstitutional because of its racist history. </w:t>
      </w:r>
      <w:r w:rsidR="00C713C5" w:rsidRPr="00B45B9D">
        <w:rPr>
          <w:sz w:val="24"/>
          <w:lang w:val="en-CA"/>
        </w:rPr>
        <w:t>Transcript at 60</w:t>
      </w:r>
      <w:r w:rsidR="00C713C5" w:rsidRPr="00B45B9D">
        <w:rPr>
          <w:sz w:val="24"/>
        </w:rPr>
        <w:t xml:space="preserve"> (“JUSTICE KAVANAUGH: [T]he rule in question here is rooted in a --in racism, you know, rooted in a desire, apparently, to diminish the voices of black jurors in the late 1890s.”). Therefore, the statute is unconstitutional and violates </w:t>
      </w:r>
      <w:r w:rsidR="00B9598C">
        <w:rPr>
          <w:sz w:val="24"/>
          <w:lang w:val="en-CA"/>
        </w:rPr>
        <w:t>[</w:t>
      </w:r>
      <w:r w:rsidR="00B9598C" w:rsidRPr="000726DA">
        <w:rPr>
          <w:sz w:val="24"/>
          <w:highlight w:val="yellow"/>
          <w:lang w:val="en-CA"/>
        </w:rPr>
        <w:t>NAME OF CLIENT</w:t>
      </w:r>
      <w:r w:rsidR="00B9598C">
        <w:rPr>
          <w:sz w:val="24"/>
          <w:lang w:val="en-CA"/>
        </w:rPr>
        <w:t>]</w:t>
      </w:r>
      <w:r w:rsidR="00C713C5" w:rsidRPr="00B45B9D">
        <w:rPr>
          <w:sz w:val="24"/>
        </w:rPr>
        <w:t xml:space="preserve">’s </w:t>
      </w:r>
      <w:r w:rsidR="00865708" w:rsidRPr="00B45B9D">
        <w:rPr>
          <w:sz w:val="24"/>
        </w:rPr>
        <w:t xml:space="preserve">right to equal </w:t>
      </w:r>
      <w:r w:rsidR="00865708" w:rsidRPr="00B45B9D">
        <w:rPr>
          <w:sz w:val="24"/>
        </w:rPr>
        <w:lastRenderedPageBreak/>
        <w:t xml:space="preserve">protection </w:t>
      </w:r>
      <w:r w:rsidR="0087131A" w:rsidRPr="00B45B9D">
        <w:rPr>
          <w:sz w:val="24"/>
        </w:rPr>
        <w:t>of</w:t>
      </w:r>
      <w:r w:rsidR="00865708" w:rsidRPr="00B45B9D">
        <w:rPr>
          <w:sz w:val="24"/>
        </w:rPr>
        <w:t xml:space="preserve"> the law</w:t>
      </w:r>
      <w:r w:rsidR="00C713C5" w:rsidRPr="00B45B9D">
        <w:rPr>
          <w:sz w:val="24"/>
        </w:rPr>
        <w:t>.</w:t>
      </w:r>
    </w:p>
    <w:p w14:paraId="7775989E" w14:textId="0DC41D9F" w:rsidR="008E6427" w:rsidRPr="00B45B9D" w:rsidRDefault="008E6427" w:rsidP="00B45B9D">
      <w:pPr>
        <w:numPr>
          <w:ilvl w:val="1"/>
          <w:numId w:val="22"/>
        </w:numPr>
        <w:jc w:val="both"/>
        <w:rPr>
          <w:b/>
        </w:rPr>
      </w:pPr>
      <w:r w:rsidRPr="00B45B9D">
        <w:rPr>
          <w:b/>
          <w:sz w:val="24"/>
          <w:lang w:val="en-CA"/>
        </w:rPr>
        <w:t xml:space="preserve">La. Const. </w:t>
      </w:r>
      <w:r w:rsidRPr="00B45B9D">
        <w:rPr>
          <w:b/>
          <w:sz w:val="24"/>
        </w:rPr>
        <w:t>art. I, § 17</w:t>
      </w:r>
      <w:r w:rsidR="000D2C53" w:rsidRPr="00B45B9D">
        <w:rPr>
          <w:b/>
          <w:sz w:val="24"/>
        </w:rPr>
        <w:t xml:space="preserve"> and La. C.Cr.P. Art. 782</w:t>
      </w:r>
      <w:r w:rsidRPr="00B45B9D">
        <w:rPr>
          <w:b/>
          <w:sz w:val="24"/>
        </w:rPr>
        <w:t xml:space="preserve"> Violate The Fourteenth Amendment Because Of The</w:t>
      </w:r>
      <w:r w:rsidR="00FF6684" w:rsidRPr="00B45B9D">
        <w:rPr>
          <w:b/>
          <w:sz w:val="24"/>
        </w:rPr>
        <w:t xml:space="preserve"> Discriminatory Intent Evident in the</w:t>
      </w:r>
      <w:r w:rsidRPr="00B45B9D">
        <w:rPr>
          <w:b/>
          <w:sz w:val="24"/>
        </w:rPr>
        <w:t xml:space="preserve"> Historical Background, Sequence Of Events, Legislative History, And Statements By Decision Makers Surrounding the 1898 Enactment.</w:t>
      </w:r>
    </w:p>
    <w:p w14:paraId="7A99467B" w14:textId="77777777" w:rsidR="00266253" w:rsidRPr="00B45B9D" w:rsidRDefault="00266253" w:rsidP="00266253">
      <w:pPr>
        <w:ind w:left="1080"/>
        <w:rPr>
          <w:b/>
        </w:rPr>
      </w:pPr>
    </w:p>
    <w:p w14:paraId="5634614F" w14:textId="6035AC3C" w:rsidR="006825DD" w:rsidRPr="00B45B9D" w:rsidRDefault="00266253" w:rsidP="006825DD">
      <w:pPr>
        <w:pStyle w:val="Numberedparagraph"/>
        <w:numPr>
          <w:ilvl w:val="0"/>
          <w:numId w:val="0"/>
        </w:numPr>
        <w:ind w:firstLine="720"/>
      </w:pPr>
      <w:r w:rsidRPr="00B45B9D">
        <w:t>Each</w:t>
      </w:r>
      <w:r w:rsidR="001E590E" w:rsidRPr="00B45B9D">
        <w:t xml:space="preserve"> of the first four factors to be considered in this analysis under</w:t>
      </w:r>
      <w:r w:rsidRPr="00B45B9D">
        <w:t xml:space="preserve"> the</w:t>
      </w:r>
      <w:r w:rsidR="001E590E" w:rsidRPr="00B45B9D">
        <w:t xml:space="preserve"> </w:t>
      </w:r>
      <w:r w:rsidR="001E590E" w:rsidRPr="00B45B9D">
        <w:rPr>
          <w:i/>
          <w:iCs/>
        </w:rPr>
        <w:t>Arlington Heights</w:t>
      </w:r>
      <w:r w:rsidRPr="00B45B9D">
        <w:t xml:space="preserve"> test</w:t>
      </w:r>
      <w:r w:rsidR="001E590E" w:rsidRPr="00B45B9D">
        <w:t xml:space="preserve"> support a finding in this case that</w:t>
      </w:r>
      <w:r w:rsidR="004737C9" w:rsidRPr="00B45B9D">
        <w:rPr>
          <w:lang w:val="en-CA"/>
        </w:rPr>
        <w:t xml:space="preserve"> La. Const. art. I § 17 and La. C.Cr.P. art. 782 </w:t>
      </w:r>
      <w:r w:rsidRPr="00B45B9D">
        <w:rPr>
          <w:lang w:val="en-CA"/>
        </w:rPr>
        <w:t>v</w:t>
      </w:r>
      <w:r w:rsidR="00552412" w:rsidRPr="00B45B9D">
        <w:rPr>
          <w:lang w:val="en-CA"/>
        </w:rPr>
        <w:t xml:space="preserve">iolate the </w:t>
      </w:r>
      <w:r w:rsidRPr="00B45B9D">
        <w:rPr>
          <w:lang w:val="en-CA"/>
        </w:rPr>
        <w:t>Equal Protection Clause of</w:t>
      </w:r>
      <w:r w:rsidR="00552412" w:rsidRPr="00B45B9D">
        <w:rPr>
          <w:lang w:val="en-CA"/>
        </w:rPr>
        <w:t xml:space="preserve"> the 14th amendment.</w:t>
      </w:r>
      <w:r w:rsidR="004737C9" w:rsidRPr="00B45B9D">
        <w:t xml:space="preserve"> </w:t>
      </w:r>
      <w:r w:rsidR="001E590E" w:rsidRPr="00B45B9D">
        <w:t xml:space="preserve"> </w:t>
      </w:r>
      <w:r w:rsidR="0087131A" w:rsidRPr="00B45B9D">
        <w:t xml:space="preserve">Non-unanimous </w:t>
      </w:r>
      <w:r w:rsidR="00331895" w:rsidRPr="00B45B9D">
        <w:t>verdicts were first introduced in Louisiana as Article 116 of the Constitution of 1898, by legislators as part of a raft of deliberately discriminatory measures.</w:t>
      </w:r>
      <w:r w:rsidR="00331895" w:rsidRPr="00B45B9D">
        <w:rPr>
          <w:rStyle w:val="FootnoteReference"/>
        </w:rPr>
        <w:footnoteReference w:id="10"/>
      </w:r>
      <w:r w:rsidR="003933A9" w:rsidRPr="00B45B9D">
        <w:t xml:space="preserve"> </w:t>
      </w:r>
      <w:r w:rsidR="00331895" w:rsidRPr="00B45B9D">
        <w:t>Put simply, “[t]he desire of Lou</w:t>
      </w:r>
      <w:r w:rsidR="00331895" w:rsidRPr="00B45B9D">
        <w:lastRenderedPageBreak/>
        <w:t>isiana’s reactionary oligarchies to disfranchise blacks and poor whites prompted the Const</w:t>
      </w:r>
      <w:r w:rsidR="0087402F" w:rsidRPr="00B45B9D">
        <w:t>itutional Convention of 1898.”</w:t>
      </w:r>
      <w:r w:rsidR="0087402F" w:rsidRPr="00B45B9D">
        <w:rPr>
          <w:rStyle w:val="FootnoteReference"/>
        </w:rPr>
        <w:footnoteReference w:id="11"/>
      </w:r>
      <w:r w:rsidR="0087402F" w:rsidRPr="00B45B9D">
        <w:t xml:space="preserve"> </w:t>
      </w:r>
      <w:r w:rsidR="00331895" w:rsidRPr="00B45B9D">
        <w:t>The delegates were not at all secretive about their purpose.</w:t>
      </w:r>
      <w:r w:rsidR="003933A9" w:rsidRPr="00B45B9D">
        <w:t xml:space="preserve"> </w:t>
      </w:r>
      <w:r w:rsidR="00331895" w:rsidRPr="00B45B9D">
        <w:t>The President of Louisiana’s 1898 Convention, E.B. Kruttschnitt, stated in his opening address:</w:t>
      </w:r>
      <w:r w:rsidR="006825DD" w:rsidRPr="00B45B9D">
        <w:t xml:space="preserve"> “</w:t>
      </w:r>
      <w:r w:rsidR="00331895" w:rsidRPr="00B45B9D">
        <w:t xml:space="preserve">I am called upon to preside over </w:t>
      </w:r>
      <w:r w:rsidR="006825DD" w:rsidRPr="00B45B9D">
        <w:t xml:space="preserve">… </w:t>
      </w:r>
      <w:r w:rsidR="00331895" w:rsidRPr="00B45B9D">
        <w:t xml:space="preserve">this convention </w:t>
      </w:r>
      <w:r w:rsidR="006825DD" w:rsidRPr="00B45B9D">
        <w:t xml:space="preserve">[which] </w:t>
      </w:r>
      <w:r w:rsidR="00331895" w:rsidRPr="00B45B9D">
        <w:t>has been called together by the people of the State to eliminate from the electorate the mass of corrupt and illiterate voters who have during the last quarter of a century degraded our politics.</w:t>
      </w:r>
      <w:r w:rsidR="006825DD" w:rsidRPr="00B45B9D">
        <w:t>”</w:t>
      </w:r>
      <w:r w:rsidR="0087402F" w:rsidRPr="00B45B9D">
        <w:rPr>
          <w:rStyle w:val="FootnoteReference"/>
        </w:rPr>
        <w:footnoteReference w:id="12"/>
      </w:r>
      <w:r w:rsidR="006825DD" w:rsidRPr="00B45B9D">
        <w:t xml:space="preserve"> </w:t>
      </w:r>
      <w:r w:rsidR="00331895" w:rsidRPr="00B45B9D">
        <w:t>In closing the Convention, Hon Thomas J. Semmes stated that the “mission” of the delegates had been “to establish the supremacy of</w:t>
      </w:r>
      <w:r w:rsidR="0087402F" w:rsidRPr="00B45B9D">
        <w:t xml:space="preserve"> the white race in this state.”</w:t>
      </w:r>
      <w:r w:rsidR="0087402F" w:rsidRPr="00B45B9D">
        <w:rPr>
          <w:rStyle w:val="FootnoteReference"/>
        </w:rPr>
        <w:footnoteReference w:id="13"/>
      </w:r>
      <w:r w:rsidR="006825DD" w:rsidRPr="00B45B9D">
        <w:t xml:space="preserve"> The delegates established majority voting for felony juries: of twelve jurors, nine votes were needed to convict in all cases except capital offenses.</w:t>
      </w:r>
      <w:r w:rsidR="00CC7C40" w:rsidRPr="00B45B9D">
        <w:t xml:space="preserve"> </w:t>
      </w:r>
      <w:r w:rsidR="00331895" w:rsidRPr="00B45B9D">
        <w:t xml:space="preserve">In his closing remarks, President Kruttschnitt </w:t>
      </w:r>
      <w:r w:rsidR="00AE725C" w:rsidRPr="00B45B9D">
        <w:t>lamented</w:t>
      </w:r>
      <w:r w:rsidR="00331895" w:rsidRPr="00B45B9D">
        <w:t xml:space="preserve"> that the delegates had been constrained by the Fifteenth Amendment </w:t>
      </w:r>
      <w:r w:rsidR="00AE725C" w:rsidRPr="00B45B9D">
        <w:t>from enacting</w:t>
      </w:r>
      <w:r w:rsidR="00331895" w:rsidRPr="00B45B9D">
        <w:t xml:space="preserve"> “[u]niversal white manhood suffrage and the exclusion from the suffrage of every </w:t>
      </w:r>
      <w:r w:rsidR="00331895" w:rsidRPr="00B45B9D">
        <w:lastRenderedPageBreak/>
        <w:t xml:space="preserve">man with a trace </w:t>
      </w:r>
      <w:r w:rsidR="0087402F" w:rsidRPr="00B45B9D">
        <w:t>of African blood in his veins.”</w:t>
      </w:r>
      <w:r w:rsidR="0087402F" w:rsidRPr="00B45B9D">
        <w:rPr>
          <w:rStyle w:val="FootnoteReference"/>
        </w:rPr>
        <w:footnoteReference w:id="14"/>
      </w:r>
      <w:r w:rsidR="00331895" w:rsidRPr="00B45B9D">
        <w:t xml:space="preserve"> </w:t>
      </w:r>
    </w:p>
    <w:p w14:paraId="43AF5ECD" w14:textId="5FA17922" w:rsidR="00331895" w:rsidRPr="00B45B9D" w:rsidRDefault="00331895" w:rsidP="00331895">
      <w:pPr>
        <w:pStyle w:val="Numberedparagraph"/>
        <w:numPr>
          <w:ilvl w:val="0"/>
          <w:numId w:val="0"/>
        </w:numPr>
        <w:ind w:firstLine="720"/>
      </w:pPr>
      <w:r w:rsidRPr="00B45B9D">
        <w:t>When it passed the majority-verdict scheme, the Convention had before it the “Statement of Registered Voters 1897 and 1898” which is contained i</w:t>
      </w:r>
      <w:r w:rsidR="00556318" w:rsidRPr="00B45B9D">
        <w:t>n the Official Journal itself.</w:t>
      </w:r>
      <w:r w:rsidR="00556318" w:rsidRPr="00B45B9D">
        <w:rPr>
          <w:rStyle w:val="FootnoteReference"/>
        </w:rPr>
        <w:footnoteReference w:id="15"/>
      </w:r>
      <w:r w:rsidR="00556318" w:rsidRPr="00B45B9D">
        <w:t xml:space="preserve"> </w:t>
      </w:r>
      <w:r w:rsidRPr="00B45B9D">
        <w:t>Blacks represented 14.7% of all citizens registered to vote in Louisiana as of Janua</w:t>
      </w:r>
      <w:r w:rsidR="00556318" w:rsidRPr="00B45B9D">
        <w:t>ry 1, 1898 (12,902 of 87,240).</w:t>
      </w:r>
      <w:r w:rsidR="00556318" w:rsidRPr="00B45B9D">
        <w:rPr>
          <w:rStyle w:val="FootnoteReference"/>
        </w:rPr>
        <w:footnoteReference w:id="16"/>
      </w:r>
      <w:r w:rsidR="00556318" w:rsidRPr="00B45B9D">
        <w:t xml:space="preserve"> </w:t>
      </w:r>
      <w:r w:rsidRPr="00B45B9D">
        <w:t>Proportionate representation on juries would have seen an average of two black jurors per trial.</w:t>
      </w:r>
      <w:r w:rsidR="003933A9" w:rsidRPr="00B45B9D">
        <w:t xml:space="preserve"> </w:t>
      </w:r>
      <w:r w:rsidRPr="00B45B9D">
        <w:t>The selection of nine votes for a verdict served to guarantee white majority control over jury verdicts: black votes could be ignored.</w:t>
      </w:r>
      <w:r w:rsidR="00E17CEC" w:rsidRPr="00B45B9D">
        <w:t xml:space="preserve"> </w:t>
      </w:r>
    </w:p>
    <w:p w14:paraId="76E6031D" w14:textId="77777777" w:rsidR="00000D3A" w:rsidRPr="00B45B9D" w:rsidRDefault="00017495" w:rsidP="004771BE">
      <w:pPr>
        <w:pStyle w:val="Numberedparagraph"/>
        <w:numPr>
          <w:ilvl w:val="0"/>
          <w:numId w:val="0"/>
        </w:numPr>
        <w:ind w:firstLine="720"/>
      </w:pPr>
      <w:r w:rsidRPr="00B45B9D">
        <w:t xml:space="preserve">The provision allowing for a 10-2 conviction in Louisiana felony cases was adopted in the Constitutional Convention of 1974. At this date, when “racial tensions in Louisiana were high,” Louisiana attempted to “make as little change to the substance of the Constitution of 1921 as possible,” and simply “reduce the size of the document.” </w:t>
      </w:r>
      <w:r w:rsidRPr="00B45B9D">
        <w:rPr>
          <w:i/>
        </w:rPr>
        <w:t>State v. Maxie</w:t>
      </w:r>
      <w:r w:rsidR="00440749" w:rsidRPr="00B45B9D">
        <w:rPr>
          <w:i/>
        </w:rPr>
        <w:t>.</w:t>
      </w:r>
      <w:r w:rsidR="00440749" w:rsidRPr="00B45B9D">
        <w:t xml:space="preserve"> In the </w:t>
      </w:r>
      <w:r w:rsidR="00440749" w:rsidRPr="00B45B9D">
        <w:rPr>
          <w:i/>
        </w:rPr>
        <w:t>Maxie</w:t>
      </w:r>
      <w:r w:rsidR="00440749" w:rsidRPr="00B45B9D">
        <w:t xml:space="preserve"> hearing,</w:t>
      </w:r>
      <w:r w:rsidRPr="00B45B9D">
        <w:t xml:space="preserve"> Professor Aiello</w:t>
      </w:r>
      <w:r w:rsidR="00440749" w:rsidRPr="00B45B9D">
        <w:t xml:space="preserve"> testified to his </w:t>
      </w:r>
      <w:r w:rsidRPr="00B45B9D">
        <w:t xml:space="preserve">“his expert opinion that </w:t>
      </w:r>
      <w:r w:rsidRPr="00B45B9D">
        <w:lastRenderedPageBreak/>
        <w:t>the 1974 constitution’s nonunanimous jury verdict scheme was rooted in and fairly traceable to the 1898 enactment</w:t>
      </w:r>
      <w:r w:rsidR="00440749" w:rsidRPr="00B45B9D">
        <w:t xml:space="preserve">.” </w:t>
      </w:r>
      <w:r w:rsidR="00440749" w:rsidRPr="00B45B9D">
        <w:rPr>
          <w:i/>
        </w:rPr>
        <w:t>Id</w:t>
      </w:r>
      <w:r w:rsidR="00440749" w:rsidRPr="00B45B9D">
        <w:t xml:space="preserve">. Therefore, Louisiana persisted in acting on and reinforcing a racially motivated practice of requiring only some jurors to deprive a defendant of his liberty. </w:t>
      </w:r>
    </w:p>
    <w:p w14:paraId="726BE648" w14:textId="42489E19" w:rsidR="006825DD" w:rsidRPr="00B45B9D" w:rsidRDefault="00440749" w:rsidP="004771BE">
      <w:pPr>
        <w:pStyle w:val="Numberedparagraph"/>
        <w:numPr>
          <w:ilvl w:val="0"/>
          <w:numId w:val="0"/>
        </w:numPr>
        <w:ind w:firstLine="720"/>
      </w:pPr>
      <w:r w:rsidRPr="00B45B9D">
        <w:t>In reaction to the continued racial taint of the practice, i</w:t>
      </w:r>
      <w:r w:rsidR="006825DD" w:rsidRPr="00B45B9D">
        <w:t xml:space="preserve">n 2018, a broad coalition encompassing actors from </w:t>
      </w:r>
      <w:r w:rsidR="006825DD" w:rsidRPr="00B45B9D">
        <w:rPr>
          <w:lang w:val="en-CA"/>
        </w:rPr>
        <w:t xml:space="preserve">the Louisiana Conference of Catholic Bishops, to the Southern Poverty Law Center, to the Louisiana Republican Party </w:t>
      </w:r>
      <w:r w:rsidRPr="00B45B9D">
        <w:rPr>
          <w:lang w:val="en-CA"/>
        </w:rPr>
        <w:t>expressed opposition and supported the elimination</w:t>
      </w:r>
      <w:r w:rsidR="006825DD" w:rsidRPr="00B45B9D">
        <w:rPr>
          <w:lang w:val="en-CA"/>
        </w:rPr>
        <w:t xml:space="preserve"> non-unanimous jury verdicts for felony convictions.</w:t>
      </w:r>
      <w:r w:rsidR="006825DD" w:rsidRPr="00B45B9D">
        <w:rPr>
          <w:rStyle w:val="FootnoteReference"/>
          <w:lang w:val="en-CA"/>
        </w:rPr>
        <w:footnoteReference w:id="17"/>
      </w:r>
      <w:r w:rsidR="006825DD" w:rsidRPr="00B45B9D">
        <w:rPr>
          <w:lang w:val="en-CA"/>
        </w:rPr>
        <w:t xml:space="preserve"> The broad base of support formed to eliminate the practice was solidified and bolstered by </w:t>
      </w:r>
      <w:r w:rsidR="007C190E" w:rsidRPr="00B45B9D">
        <w:rPr>
          <w:lang w:val="en-CA"/>
        </w:rPr>
        <w:t xml:space="preserve">widespread </w:t>
      </w:r>
      <w:r w:rsidR="00031FF3" w:rsidRPr="00B45B9D">
        <w:rPr>
          <w:lang w:val="en-CA"/>
        </w:rPr>
        <w:t>acknowledgement</w:t>
      </w:r>
      <w:r w:rsidR="007C190E" w:rsidRPr="00B45B9D">
        <w:rPr>
          <w:lang w:val="en-CA"/>
        </w:rPr>
        <w:t xml:space="preserve"> of the</w:t>
      </w:r>
      <w:r w:rsidR="006825DD" w:rsidRPr="00B45B9D">
        <w:rPr>
          <w:lang w:val="en-CA"/>
        </w:rPr>
        <w:t xml:space="preserve"> racist origins of non-unanimous jury verdicts</w:t>
      </w:r>
      <w:r w:rsidR="006825DD" w:rsidRPr="00B45B9D">
        <w:t xml:space="preserve">. </w:t>
      </w:r>
      <w:r w:rsidR="004771BE" w:rsidRPr="00B45B9D">
        <w:t>The</w:t>
      </w:r>
      <w:r w:rsidR="008562AB" w:rsidRPr="00B45B9D">
        <w:t xml:space="preserve"> legislative history</w:t>
      </w:r>
      <w:r w:rsidR="004771BE" w:rsidRPr="00B45B9D">
        <w:t xml:space="preserve"> supports a</w:t>
      </w:r>
      <w:r w:rsidR="004C6AA1" w:rsidRPr="00B45B9D">
        <w:t xml:space="preserve"> finding of</w:t>
      </w:r>
      <w:r w:rsidR="004771BE" w:rsidRPr="00B45B9D">
        <w:t xml:space="preserve"> s</w:t>
      </w:r>
      <w:r w:rsidR="004C6AA1" w:rsidRPr="00B45B9D">
        <w:t>ubstantial discriminatory intent</w:t>
      </w:r>
      <w:r w:rsidR="008562AB" w:rsidRPr="00B45B9D">
        <w:t xml:space="preserve"> under the first four</w:t>
      </w:r>
      <w:r w:rsidR="004771BE" w:rsidRPr="00B45B9D">
        <w:t xml:space="preserve"> f</w:t>
      </w:r>
      <w:r w:rsidR="008562AB" w:rsidRPr="00B45B9D">
        <w:t>actors</w:t>
      </w:r>
      <w:r w:rsidR="004771BE" w:rsidRPr="00B45B9D">
        <w:t xml:space="preserve"> as required by the </w:t>
      </w:r>
      <w:r w:rsidR="008562AB" w:rsidRPr="00B45B9D">
        <w:rPr>
          <w:i/>
        </w:rPr>
        <w:t>Arlington Heights</w:t>
      </w:r>
      <w:r w:rsidR="004771BE" w:rsidRPr="00B45B9D">
        <w:t xml:space="preserve"> test.</w:t>
      </w:r>
    </w:p>
    <w:p w14:paraId="3CE5DB7F" w14:textId="03D62BA9" w:rsidR="00F36F58" w:rsidRPr="00B45B9D" w:rsidRDefault="00653970" w:rsidP="00B45B9D">
      <w:pPr>
        <w:pStyle w:val="Numberedparagraph"/>
        <w:numPr>
          <w:ilvl w:val="1"/>
          <w:numId w:val="22"/>
        </w:numPr>
        <w:spacing w:line="240" w:lineRule="auto"/>
        <w:rPr>
          <w:b/>
        </w:rPr>
      </w:pPr>
      <w:r w:rsidRPr="00B45B9D">
        <w:rPr>
          <w:b/>
          <w:lang w:val="en-CA"/>
        </w:rPr>
        <w:lastRenderedPageBreak/>
        <w:t xml:space="preserve">La. Const. </w:t>
      </w:r>
      <w:r w:rsidRPr="00B45B9D">
        <w:rPr>
          <w:b/>
        </w:rPr>
        <w:t>art. I, § 17</w:t>
      </w:r>
      <w:r w:rsidR="009A038C" w:rsidRPr="00B45B9D">
        <w:rPr>
          <w:b/>
        </w:rPr>
        <w:t xml:space="preserve"> and La. C.Cr.P. 782 </w:t>
      </w:r>
      <w:r w:rsidR="00F36F58" w:rsidRPr="00B45B9D">
        <w:rPr>
          <w:b/>
        </w:rPr>
        <w:t xml:space="preserve">Violate The Fourteenth Amendment Based On </w:t>
      </w:r>
      <w:r w:rsidR="003A514B">
        <w:rPr>
          <w:b/>
        </w:rPr>
        <w:t>Their</w:t>
      </w:r>
      <w:r w:rsidR="00224643" w:rsidRPr="00B45B9D">
        <w:rPr>
          <w:b/>
        </w:rPr>
        <w:t xml:space="preserve"> </w:t>
      </w:r>
      <w:r w:rsidR="00F36F58" w:rsidRPr="00B45B9D">
        <w:rPr>
          <w:b/>
        </w:rPr>
        <w:t>Disparate Racial Impact</w:t>
      </w:r>
      <w:r w:rsidR="000E56FF">
        <w:rPr>
          <w:b/>
        </w:rPr>
        <w:t xml:space="preserve"> on </w:t>
      </w:r>
      <w:r w:rsidR="003A514B">
        <w:rPr>
          <w:b/>
        </w:rPr>
        <w:t>Both</w:t>
      </w:r>
      <w:r w:rsidR="000E56FF">
        <w:rPr>
          <w:b/>
        </w:rPr>
        <w:t xml:space="preserve"> </w:t>
      </w:r>
      <w:r w:rsidR="003A514B">
        <w:rPr>
          <w:b/>
        </w:rPr>
        <w:t>African-American Defendants and African-American Jurors.</w:t>
      </w:r>
    </w:p>
    <w:p w14:paraId="40AA5D2D" w14:textId="77777777" w:rsidR="00E03EB9" w:rsidRPr="00B45B9D" w:rsidRDefault="00E03EB9" w:rsidP="00E03EB9">
      <w:pPr>
        <w:pStyle w:val="Numberedparagraph"/>
        <w:numPr>
          <w:ilvl w:val="0"/>
          <w:numId w:val="0"/>
        </w:numPr>
        <w:spacing w:line="240" w:lineRule="auto"/>
        <w:ind w:left="1440"/>
        <w:rPr>
          <w:b/>
        </w:rPr>
      </w:pPr>
    </w:p>
    <w:p w14:paraId="0CA87603" w14:textId="6EECAFB3" w:rsidR="00E17CEC" w:rsidRPr="00B45B9D" w:rsidRDefault="004C6AA1" w:rsidP="00E17CEC">
      <w:pPr>
        <w:pStyle w:val="Numberedparagraph"/>
        <w:numPr>
          <w:ilvl w:val="0"/>
          <w:numId w:val="0"/>
        </w:numPr>
        <w:ind w:firstLine="720"/>
      </w:pPr>
      <w:r w:rsidRPr="00B45B9D">
        <w:rPr>
          <w:lang w:val="en-CA"/>
        </w:rPr>
        <w:t xml:space="preserve">The </w:t>
      </w:r>
      <w:r w:rsidR="004771BE" w:rsidRPr="00B45B9D">
        <w:rPr>
          <w:lang w:val="en-CA"/>
        </w:rPr>
        <w:t>f</w:t>
      </w:r>
      <w:r w:rsidR="006A6D69" w:rsidRPr="00B45B9D">
        <w:rPr>
          <w:lang w:val="en-CA"/>
        </w:rPr>
        <w:t xml:space="preserve">inal factor in </w:t>
      </w:r>
      <w:r w:rsidR="004771BE" w:rsidRPr="00B45B9D">
        <w:rPr>
          <w:lang w:val="en-CA"/>
        </w:rPr>
        <w:t xml:space="preserve">the </w:t>
      </w:r>
      <w:r w:rsidR="006A6D69" w:rsidRPr="00B45B9D">
        <w:rPr>
          <w:i/>
          <w:lang w:val="en-CA"/>
        </w:rPr>
        <w:t>Arlington Heights</w:t>
      </w:r>
      <w:r w:rsidR="004771BE" w:rsidRPr="00B45B9D">
        <w:rPr>
          <w:lang w:val="en-CA"/>
        </w:rPr>
        <w:t xml:space="preserve"> test</w:t>
      </w:r>
      <w:r w:rsidR="006A6D69" w:rsidRPr="00B45B9D">
        <w:rPr>
          <w:lang w:val="en-CA"/>
        </w:rPr>
        <w:t>,</w:t>
      </w:r>
      <w:r w:rsidR="004771BE" w:rsidRPr="00B45B9D">
        <w:rPr>
          <w:lang w:val="en-CA"/>
        </w:rPr>
        <w:t xml:space="preserve"> t</w:t>
      </w:r>
      <w:r w:rsidR="006A6D69" w:rsidRPr="00B45B9D">
        <w:rPr>
          <w:lang w:val="en-CA"/>
        </w:rPr>
        <w:t xml:space="preserve">he </w:t>
      </w:r>
      <w:r w:rsidR="004771BE" w:rsidRPr="00B45B9D">
        <w:rPr>
          <w:lang w:val="en-CA"/>
        </w:rPr>
        <w:t>d</w:t>
      </w:r>
      <w:r w:rsidR="006A6D69" w:rsidRPr="00B45B9D">
        <w:rPr>
          <w:lang w:val="en-CA"/>
        </w:rPr>
        <w:t>iscriminatory effect of a law</w:t>
      </w:r>
      <w:r w:rsidR="004771BE" w:rsidRPr="00B45B9D">
        <w:rPr>
          <w:lang w:val="en-CA"/>
        </w:rPr>
        <w:t>,</w:t>
      </w:r>
      <w:r w:rsidR="00B514B1" w:rsidRPr="00B45B9D">
        <w:rPr>
          <w:lang w:val="en-CA"/>
        </w:rPr>
        <w:t xml:space="preserve"> </w:t>
      </w:r>
      <w:r w:rsidR="00404207" w:rsidRPr="00B45B9D">
        <w:rPr>
          <w:lang w:val="en-CA"/>
        </w:rPr>
        <w:t>also weighs</w:t>
      </w:r>
      <w:r w:rsidR="00B514B1" w:rsidRPr="00B45B9D">
        <w:rPr>
          <w:lang w:val="en-CA"/>
        </w:rPr>
        <w:t xml:space="preserve"> </w:t>
      </w:r>
      <w:r w:rsidR="00404207" w:rsidRPr="00B45B9D">
        <w:rPr>
          <w:lang w:val="en-CA"/>
        </w:rPr>
        <w:t>in support of a</w:t>
      </w:r>
      <w:r w:rsidR="00B559CC" w:rsidRPr="00B45B9D">
        <w:rPr>
          <w:lang w:val="en-CA"/>
        </w:rPr>
        <w:t xml:space="preserve"> finding that </w:t>
      </w:r>
      <w:r w:rsidR="00B30CE8" w:rsidRPr="00B45B9D">
        <w:rPr>
          <w:lang w:val="en-CA"/>
        </w:rPr>
        <w:t xml:space="preserve">La. Const. </w:t>
      </w:r>
      <w:r w:rsidR="00B30CE8" w:rsidRPr="00B45B9D">
        <w:t>art. I, § 17</w:t>
      </w:r>
      <w:r w:rsidR="00B559CC" w:rsidRPr="00B45B9D">
        <w:t xml:space="preserve"> and La. C.Cr.P. 782</w:t>
      </w:r>
      <w:r w:rsidR="00B30CE8" w:rsidRPr="00B45B9D">
        <w:t xml:space="preserve"> </w:t>
      </w:r>
      <w:r w:rsidR="00B559CC" w:rsidRPr="00B45B9D">
        <w:t>are</w:t>
      </w:r>
      <w:r w:rsidR="00B30CE8" w:rsidRPr="00B45B9D">
        <w:t xml:space="preserve"> unconstitutional because </w:t>
      </w:r>
      <w:r w:rsidR="00586D51" w:rsidRPr="00B45B9D">
        <w:t>in addition to their racist origins</w:t>
      </w:r>
      <w:r w:rsidR="004771BE" w:rsidRPr="00B45B9D">
        <w:t>,</w:t>
      </w:r>
      <w:r w:rsidR="00586D51" w:rsidRPr="00B45B9D">
        <w:t xml:space="preserve"> they</w:t>
      </w:r>
      <w:r w:rsidR="004771BE" w:rsidRPr="00B45B9D">
        <w:t xml:space="preserve"> </w:t>
      </w:r>
      <w:r w:rsidR="00B30CE8" w:rsidRPr="00B45B9D">
        <w:t xml:space="preserve">create a racially disparate impact in </w:t>
      </w:r>
      <w:r w:rsidR="00000D3A" w:rsidRPr="00B45B9D">
        <w:t>current</w:t>
      </w:r>
      <w:r w:rsidR="00B30CE8" w:rsidRPr="00B45B9D">
        <w:t xml:space="preserve"> outcomes and sentencing of </w:t>
      </w:r>
      <w:r w:rsidR="004771BE" w:rsidRPr="00B45B9D">
        <w:t>African-American</w:t>
      </w:r>
      <w:r w:rsidR="00B30CE8" w:rsidRPr="00B45B9D">
        <w:t xml:space="preserve"> defendants. </w:t>
      </w:r>
      <w:r w:rsidR="00D048BD" w:rsidRPr="00B45B9D">
        <w:t>The</w:t>
      </w:r>
      <w:r w:rsidR="00B30CE8" w:rsidRPr="00B45B9D">
        <w:t xml:space="preserve"> data</w:t>
      </w:r>
      <w:r w:rsidR="00D048BD" w:rsidRPr="00B45B9D">
        <w:t xml:space="preserve"> demonstrating that effect</w:t>
      </w:r>
      <w:r w:rsidR="00B30CE8" w:rsidRPr="00B45B9D">
        <w:t xml:space="preserve"> </w:t>
      </w:r>
      <w:r w:rsidR="00AC29B9" w:rsidRPr="00B45B9D">
        <w:t>was collected</w:t>
      </w:r>
      <w:r w:rsidR="00B30CE8" w:rsidRPr="00B45B9D">
        <w:t xml:space="preserve"> and published by </w:t>
      </w:r>
      <w:r w:rsidR="00B30CE8" w:rsidRPr="00B45B9D">
        <w:rPr>
          <w:i/>
        </w:rPr>
        <w:t xml:space="preserve">The </w:t>
      </w:r>
      <w:r w:rsidR="00E17CEC" w:rsidRPr="00B45B9D">
        <w:rPr>
          <w:i/>
        </w:rPr>
        <w:t>New Orleans</w:t>
      </w:r>
      <w:r w:rsidR="00E17CEC" w:rsidRPr="00B45B9D">
        <w:t xml:space="preserve"> </w:t>
      </w:r>
      <w:r w:rsidR="00E17CEC" w:rsidRPr="00B45B9D">
        <w:rPr>
          <w:i/>
        </w:rPr>
        <w:t>Advocate</w:t>
      </w:r>
      <w:r w:rsidR="00E17CEC" w:rsidRPr="00B45B9D">
        <w:t xml:space="preserve"> in 2018</w:t>
      </w:r>
      <w:r w:rsidR="004771BE" w:rsidRPr="00B45B9D">
        <w:t>;</w:t>
      </w:r>
      <w:r w:rsidR="00B30CE8" w:rsidRPr="00B45B9D">
        <w:t xml:space="preserve"> </w:t>
      </w:r>
      <w:r w:rsidR="00AC29B9" w:rsidRPr="00B45B9D">
        <w:t>that</w:t>
      </w:r>
      <w:r w:rsidR="00B30CE8" w:rsidRPr="00B45B9D">
        <w:t xml:space="preserve"> reporting was awarded the Pulitzer Prize</w:t>
      </w:r>
      <w:r w:rsidR="00E17CEC" w:rsidRPr="00B45B9D">
        <w:t>.</w:t>
      </w:r>
      <w:r w:rsidR="00E17CEC" w:rsidRPr="00B45B9D">
        <w:rPr>
          <w:rStyle w:val="FootnoteReference"/>
        </w:rPr>
        <w:footnoteReference w:id="18"/>
      </w:r>
      <w:r w:rsidR="00E17CEC" w:rsidRPr="00B45B9D">
        <w:t xml:space="preserve"> </w:t>
      </w:r>
      <w:r w:rsidR="00B30CE8" w:rsidRPr="00B45B9D">
        <w:t xml:space="preserve">A </w:t>
      </w:r>
      <w:r w:rsidR="00E17CEC" w:rsidRPr="00B45B9D">
        <w:t>statewide analysis of jury selection patterns throughout Louisiana between 2011 and 2016 revealed that the continued use of non-unanimous juries perpetuates r</w:t>
      </w:r>
      <w:r w:rsidR="002E107D" w:rsidRPr="00B45B9D">
        <w:t xml:space="preserve">acially disparate </w:t>
      </w:r>
      <w:r w:rsidR="00E17CEC" w:rsidRPr="00B45B9D">
        <w:t>outcomes.</w:t>
      </w:r>
      <w:r w:rsidR="00E17CEC" w:rsidRPr="00B45B9D">
        <w:rPr>
          <w:rStyle w:val="FootnoteReference"/>
        </w:rPr>
        <w:footnoteReference w:id="19"/>
      </w:r>
      <w:r w:rsidR="00E17CEC" w:rsidRPr="00B45B9D">
        <w:t xml:space="preserve"> </w:t>
      </w:r>
      <w:r w:rsidR="00916928" w:rsidRPr="00B45B9D">
        <w:t xml:space="preserve">Specifically, </w:t>
      </w:r>
      <w:r w:rsidR="00916928" w:rsidRPr="00B45B9D">
        <w:rPr>
          <w:i/>
        </w:rPr>
        <w:t xml:space="preserve">The </w:t>
      </w:r>
      <w:r w:rsidR="00916928" w:rsidRPr="00B45B9D">
        <w:rPr>
          <w:i/>
        </w:rPr>
        <w:lastRenderedPageBreak/>
        <w:t>Advocate</w:t>
      </w:r>
      <w:r w:rsidR="00916928" w:rsidRPr="00B45B9D">
        <w:t xml:space="preserve"> found that 43% of black defendants were convicted non-unanimously, as opposed to 33% for white defendants.</w:t>
      </w:r>
      <w:r w:rsidR="00916928" w:rsidRPr="00B45B9D">
        <w:rPr>
          <w:rStyle w:val="FootnoteReference"/>
        </w:rPr>
        <w:footnoteReference w:id="20"/>
      </w:r>
      <w:r w:rsidR="00916928" w:rsidRPr="00B45B9D">
        <w:t xml:space="preserve"> Additionally, black jurors were 2.7 times as likely to cast a “useless” vote against a majority conviction vote.</w:t>
      </w:r>
      <w:r w:rsidR="00916928" w:rsidRPr="00B45B9D">
        <w:rPr>
          <w:rStyle w:val="FootnoteReference"/>
        </w:rPr>
        <w:footnoteReference w:id="21"/>
      </w:r>
      <w:r w:rsidR="00916928" w:rsidRPr="00B45B9D">
        <w:t xml:space="preserve"> R</w:t>
      </w:r>
      <w:r w:rsidR="00FC5AC1" w:rsidRPr="00B45B9D">
        <w:t>esearch from social scientists shows that the robustness of factual and legal debate in a jury deliberation are significantly constrained when minority perspectives can be overruled by a majority.</w:t>
      </w:r>
      <w:r w:rsidR="00FC5AC1" w:rsidRPr="00B45B9D">
        <w:rPr>
          <w:rStyle w:val="FootnoteReference"/>
        </w:rPr>
        <w:t xml:space="preserve"> </w:t>
      </w:r>
      <w:r w:rsidR="00FC5AC1" w:rsidRPr="00B45B9D">
        <w:rPr>
          <w:rStyle w:val="FootnoteReference"/>
        </w:rPr>
        <w:footnoteReference w:id="22"/>
      </w:r>
      <w:r w:rsidR="00FC5AC1" w:rsidRPr="00B45B9D">
        <w:t xml:space="preserve"> </w:t>
      </w:r>
      <w:r w:rsidR="002E107D" w:rsidRPr="00B45B9D">
        <w:t>Additionally, non-unanimous jury verdicts have paved the way for many wrongful convictions in Louisiana.</w:t>
      </w:r>
      <w:r w:rsidR="00C478E4" w:rsidRPr="00B45B9D">
        <w:rPr>
          <w:rStyle w:val="FootnoteReference"/>
        </w:rPr>
        <w:footnoteReference w:id="23"/>
      </w:r>
      <w:r w:rsidR="002E107D" w:rsidRPr="00B45B9D">
        <w:t xml:space="preserve"> All these data</w:t>
      </w:r>
      <w:r w:rsidR="00DD576D" w:rsidRPr="00B45B9D">
        <w:t xml:space="preserve"> </w:t>
      </w:r>
      <w:r w:rsidR="002E107D" w:rsidRPr="00B45B9D">
        <w:t xml:space="preserve">were presented in the courtroom in the </w:t>
      </w:r>
      <w:r w:rsidR="002E107D" w:rsidRPr="00B45B9D">
        <w:rPr>
          <w:i/>
        </w:rPr>
        <w:t>State v. Maxie</w:t>
      </w:r>
      <w:r w:rsidR="002E107D" w:rsidRPr="00B45B9D">
        <w:t xml:space="preserve"> hear</w:t>
      </w:r>
      <w:r w:rsidR="008649F3" w:rsidRPr="00B45B9D">
        <w:t xml:space="preserve">ing, </w:t>
      </w:r>
      <w:r w:rsidR="00DD576D" w:rsidRPr="00B45B9D">
        <w:t>after which</w:t>
      </w:r>
      <w:r w:rsidR="008649F3" w:rsidRPr="00B45B9D">
        <w:t xml:space="preserve"> the judge ruled that,</w:t>
      </w:r>
    </w:p>
    <w:p w14:paraId="15A8CEBD" w14:textId="3662EDE3" w:rsidR="008649F3" w:rsidRDefault="008649F3" w:rsidP="008649F3">
      <w:pPr>
        <w:pStyle w:val="Numberedparagraph"/>
        <w:numPr>
          <w:ilvl w:val="0"/>
          <w:numId w:val="0"/>
        </w:numPr>
        <w:spacing w:line="240" w:lineRule="auto"/>
        <w:ind w:left="720"/>
      </w:pPr>
      <w:r w:rsidRPr="00B45B9D">
        <w:t xml:space="preserve">“The analysis of the data shows that the rate at which African-Americans cast </w:t>
      </w:r>
      <w:r w:rsidRPr="00B45B9D">
        <w:lastRenderedPageBreak/>
        <w:t>empty votes, thereby being deprived of meaningful jury service, and the rate at which African-Americans are convicted by nonunanimous juries could not be explained by random variation in the data. These outcomes could only be explained by some outside force operating on the jury process. The only common denominator in these matters was the use of a non-unanimous jury verdict system. The current scheme in Louisiana has a disparate impact on minority jurors and defendants and therefore violates the Equal Protection Clause of the Fourteenth Amendment and is therefore unconstitutional.”</w:t>
      </w:r>
    </w:p>
    <w:p w14:paraId="0C4CF103" w14:textId="77777777" w:rsidR="00855E34" w:rsidRPr="00B45B9D" w:rsidRDefault="00855E34" w:rsidP="008649F3">
      <w:pPr>
        <w:pStyle w:val="Numberedparagraph"/>
        <w:numPr>
          <w:ilvl w:val="0"/>
          <w:numId w:val="0"/>
        </w:numPr>
        <w:spacing w:line="240" w:lineRule="auto"/>
        <w:ind w:left="720"/>
      </w:pPr>
    </w:p>
    <w:p w14:paraId="161A0EC6" w14:textId="58D48700" w:rsidR="00A30AD8" w:rsidRPr="00B45B9D" w:rsidRDefault="00000D3A" w:rsidP="004771BE">
      <w:pPr>
        <w:pStyle w:val="Numberedparagraph"/>
        <w:numPr>
          <w:ilvl w:val="0"/>
          <w:numId w:val="0"/>
        </w:numPr>
      </w:pPr>
      <w:r w:rsidRPr="00B45B9D">
        <w:rPr>
          <w:i/>
        </w:rPr>
        <w:t>Maxie</w:t>
      </w:r>
      <w:r w:rsidRPr="00B45B9D">
        <w:t xml:space="preserve">. </w:t>
      </w:r>
      <w:r w:rsidR="004771BE" w:rsidRPr="00B45B9D">
        <w:t>The data makes clear t</w:t>
      </w:r>
      <w:r w:rsidR="00802F18" w:rsidRPr="00B45B9D">
        <w:t xml:space="preserve">hat the fifth factor of </w:t>
      </w:r>
      <w:r w:rsidR="004771BE" w:rsidRPr="00B45B9D">
        <w:t xml:space="preserve">the </w:t>
      </w:r>
      <w:r w:rsidR="004771BE" w:rsidRPr="00B45B9D">
        <w:rPr>
          <w:i/>
        </w:rPr>
        <w:t>Arlington Heights</w:t>
      </w:r>
      <w:r w:rsidR="004771BE" w:rsidRPr="00B45B9D">
        <w:t xml:space="preserve"> test also</w:t>
      </w:r>
      <w:r w:rsidR="00802F18" w:rsidRPr="00B45B9D">
        <w:t xml:space="preserve"> supports a finding </w:t>
      </w:r>
      <w:r w:rsidR="004771BE" w:rsidRPr="00B45B9D">
        <w:t>t</w:t>
      </w:r>
      <w:r w:rsidR="003A530F" w:rsidRPr="00B45B9D">
        <w:t>hat no</w:t>
      </w:r>
      <w:r w:rsidR="004771BE" w:rsidRPr="00B45B9D">
        <w:t>n-unanimous juries in Louisiana violate the Equal Protection C</w:t>
      </w:r>
      <w:r w:rsidR="003A530F" w:rsidRPr="00B45B9D">
        <w:t>lause of the Fourteenth Amen</w:t>
      </w:r>
      <w:r w:rsidR="00555D5E" w:rsidRPr="00B45B9D">
        <w:t xml:space="preserve">dment. </w:t>
      </w:r>
    </w:p>
    <w:p w14:paraId="5D351F43" w14:textId="50C6046E" w:rsidR="003602C2" w:rsidRPr="00B45B9D" w:rsidRDefault="00DD576D" w:rsidP="00B153B4">
      <w:pPr>
        <w:pStyle w:val="Numberedparagraph"/>
        <w:numPr>
          <w:ilvl w:val="0"/>
          <w:numId w:val="0"/>
        </w:numPr>
        <w:ind w:firstLine="720"/>
      </w:pPr>
      <w:r w:rsidRPr="00B45B9D">
        <w:t xml:space="preserve">As the Court in </w:t>
      </w:r>
      <w:r w:rsidRPr="00B45B9D">
        <w:rPr>
          <w:i/>
        </w:rPr>
        <w:t>State v. Maxie</w:t>
      </w:r>
      <w:r w:rsidRPr="00B45B9D">
        <w:t xml:space="preserve"> found, the practice of allowing a non-unanimous verdict under La. Const. 1§ 17</w:t>
      </w:r>
      <w:r w:rsidR="00142C35" w:rsidRPr="00B45B9D">
        <w:t xml:space="preserve"> and La. C.Cr.P. 782</w:t>
      </w:r>
      <w:r w:rsidRPr="00B45B9D">
        <w:t xml:space="preserve"> violates the</w:t>
      </w:r>
      <w:r w:rsidR="00142C35" w:rsidRPr="00B45B9D">
        <w:t xml:space="preserve"> </w:t>
      </w:r>
      <w:r w:rsidR="004771BE" w:rsidRPr="00B45B9D">
        <w:t xml:space="preserve">Equal Protection Clause </w:t>
      </w:r>
      <w:r w:rsidR="00142C35" w:rsidRPr="00B45B9D">
        <w:t xml:space="preserve">of the </w:t>
      </w:r>
      <w:r w:rsidRPr="00B45B9D">
        <w:t>Fourteenth Amendment</w:t>
      </w:r>
      <w:r w:rsidR="00331895" w:rsidRPr="00B45B9D">
        <w:t>.</w:t>
      </w:r>
      <w:r w:rsidR="00331895" w:rsidRPr="00B45B9D">
        <w:rPr>
          <w:rStyle w:val="FootnoteReference"/>
        </w:rPr>
        <w:footnoteReference w:id="24"/>
      </w:r>
      <w:r w:rsidR="00782B17" w:rsidRPr="00B45B9D">
        <w:t xml:space="preserve"> </w:t>
      </w:r>
      <w:r w:rsidR="006F72A3" w:rsidRPr="00B45B9D">
        <w:t>Allowin</w:t>
      </w:r>
      <w:r w:rsidR="004771BE" w:rsidRPr="00B45B9D">
        <w:t xml:space="preserve">g this case to proceed to trial without requiring </w:t>
      </w:r>
      <w:r w:rsidR="004771BE" w:rsidRPr="00B45B9D">
        <w:lastRenderedPageBreak/>
        <w:t>a u</w:t>
      </w:r>
      <w:r w:rsidR="006F72A3" w:rsidRPr="00B45B9D">
        <w:t>nanimous jury verdict</w:t>
      </w:r>
      <w:r w:rsidR="004771BE" w:rsidRPr="00B45B9D">
        <w:t xml:space="preserve"> w</w:t>
      </w:r>
      <w:r w:rsidR="006F72A3" w:rsidRPr="00B45B9D">
        <w:t xml:space="preserve">ould </w:t>
      </w:r>
      <w:r w:rsidR="003B1521" w:rsidRPr="00B45B9D">
        <w:t>allow laws</w:t>
      </w:r>
      <w:r w:rsidR="00F33038" w:rsidRPr="00B45B9D">
        <w:t xml:space="preserve"> </w:t>
      </w:r>
      <w:r w:rsidR="003B1521" w:rsidRPr="00B45B9D">
        <w:t>passed</w:t>
      </w:r>
      <w:r w:rsidR="004771BE" w:rsidRPr="00B45B9D">
        <w:t xml:space="preserve"> with discriminatory intent to have a discriminatory impact, not just o</w:t>
      </w:r>
      <w:r w:rsidR="00F33038" w:rsidRPr="00B45B9D">
        <w:t xml:space="preserve">n </w:t>
      </w:r>
      <w:r w:rsidR="00855E34">
        <w:rPr>
          <w:lang w:val="en-CA"/>
        </w:rPr>
        <w:t>[</w:t>
      </w:r>
      <w:r w:rsidR="00855E34" w:rsidRPr="000726DA">
        <w:rPr>
          <w:highlight w:val="yellow"/>
          <w:lang w:val="en-CA"/>
        </w:rPr>
        <w:t>NAME OF CLIENT</w:t>
      </w:r>
      <w:r w:rsidR="00855E34">
        <w:rPr>
          <w:lang w:val="en-CA"/>
        </w:rPr>
        <w:t>]</w:t>
      </w:r>
      <w:r w:rsidR="004771BE" w:rsidRPr="00B45B9D">
        <w:t>, b</w:t>
      </w:r>
      <w:r w:rsidR="003B1521" w:rsidRPr="00B45B9D">
        <w:t>ut on</w:t>
      </w:r>
      <w:r w:rsidR="003522BD" w:rsidRPr="00B45B9D">
        <w:t xml:space="preserve"> also</w:t>
      </w:r>
      <w:r w:rsidR="003B1521" w:rsidRPr="00B45B9D">
        <w:t xml:space="preserve"> all black jurors called to serve</w:t>
      </w:r>
      <w:r w:rsidR="004771BE" w:rsidRPr="00B45B9D">
        <w:t xml:space="preserve"> on his jury.</w:t>
      </w:r>
    </w:p>
    <w:p w14:paraId="3C955672" w14:textId="77777777" w:rsidR="001902B5" w:rsidRPr="00B45B9D" w:rsidRDefault="001902B5" w:rsidP="001902B5">
      <w:pPr>
        <w:pStyle w:val="ListParagraph"/>
        <w:ind w:left="1440"/>
        <w:jc w:val="both"/>
        <w:rPr>
          <w:b/>
          <w:sz w:val="24"/>
        </w:rPr>
      </w:pPr>
    </w:p>
    <w:p w14:paraId="05284C04" w14:textId="4DB25F32" w:rsidR="00F216BD" w:rsidRPr="00B45B9D" w:rsidRDefault="00F216BD" w:rsidP="00B45B9D">
      <w:pPr>
        <w:pStyle w:val="ListParagraph"/>
        <w:numPr>
          <w:ilvl w:val="0"/>
          <w:numId w:val="22"/>
        </w:numPr>
        <w:jc w:val="both"/>
        <w:rPr>
          <w:b/>
          <w:sz w:val="24"/>
        </w:rPr>
      </w:pPr>
      <w:r w:rsidRPr="00B45B9D">
        <w:rPr>
          <w:b/>
          <w:sz w:val="24"/>
        </w:rPr>
        <w:t xml:space="preserve">The United States Supreme Court Has Repeatedly Held That Life Without Parole is the Ultimate Penalty for Children and to Proceed in Such a Case Pursuant to a Statute that has been Found Unconstitutional And </w:t>
      </w:r>
      <w:r w:rsidR="00846B4E" w:rsidRPr="00B45B9D">
        <w:rPr>
          <w:b/>
          <w:sz w:val="24"/>
        </w:rPr>
        <w:t>Likely Will Soon</w:t>
      </w:r>
      <w:r w:rsidRPr="00B45B9D">
        <w:rPr>
          <w:b/>
          <w:sz w:val="24"/>
        </w:rPr>
        <w:t xml:space="preserve"> </w:t>
      </w:r>
      <w:r w:rsidR="00846B4E" w:rsidRPr="00B45B9D">
        <w:rPr>
          <w:b/>
          <w:sz w:val="24"/>
        </w:rPr>
        <w:t>Be</w:t>
      </w:r>
      <w:r w:rsidRPr="00B45B9D">
        <w:rPr>
          <w:b/>
          <w:sz w:val="24"/>
        </w:rPr>
        <w:t xml:space="preserve"> </w:t>
      </w:r>
      <w:r w:rsidR="00846B4E" w:rsidRPr="00B45B9D">
        <w:rPr>
          <w:b/>
          <w:sz w:val="24"/>
        </w:rPr>
        <w:t>Held</w:t>
      </w:r>
      <w:r w:rsidRPr="00B45B9D">
        <w:rPr>
          <w:b/>
          <w:sz w:val="24"/>
        </w:rPr>
        <w:t xml:space="preserve"> </w:t>
      </w:r>
      <w:r w:rsidR="00FE3D41" w:rsidRPr="00B45B9D">
        <w:rPr>
          <w:b/>
          <w:sz w:val="24"/>
        </w:rPr>
        <w:t>Unconstitutional</w:t>
      </w:r>
      <w:r w:rsidRPr="00B45B9D">
        <w:rPr>
          <w:b/>
          <w:sz w:val="24"/>
        </w:rPr>
        <w:t xml:space="preserve"> by the United States Supreme Court</w:t>
      </w:r>
      <w:r w:rsidR="00BA0A7F" w:rsidRPr="00B45B9D">
        <w:rPr>
          <w:b/>
          <w:sz w:val="24"/>
        </w:rPr>
        <w:t xml:space="preserve"> Is</w:t>
      </w:r>
      <w:r w:rsidRPr="00B45B9D">
        <w:rPr>
          <w:b/>
          <w:sz w:val="24"/>
        </w:rPr>
        <w:t xml:space="preserve"> </w:t>
      </w:r>
      <w:r w:rsidR="00BA0A7F" w:rsidRPr="00B45B9D">
        <w:rPr>
          <w:b/>
          <w:sz w:val="24"/>
        </w:rPr>
        <w:t xml:space="preserve">Especially </w:t>
      </w:r>
      <w:r w:rsidR="00BD693E" w:rsidRPr="00B45B9D">
        <w:rPr>
          <w:b/>
          <w:sz w:val="24"/>
        </w:rPr>
        <w:t xml:space="preserve">Problematic </w:t>
      </w:r>
      <w:r w:rsidR="007268F3" w:rsidRPr="00B45B9D">
        <w:rPr>
          <w:b/>
          <w:sz w:val="24"/>
        </w:rPr>
        <w:t>and Judicially Inefficient</w:t>
      </w:r>
      <w:r w:rsidRPr="00B45B9D">
        <w:rPr>
          <w:b/>
          <w:sz w:val="24"/>
        </w:rPr>
        <w:t>.</w:t>
      </w:r>
      <w:r w:rsidRPr="00B45B9D">
        <w:t xml:space="preserve"> </w:t>
      </w:r>
    </w:p>
    <w:p w14:paraId="75F8DDB0" w14:textId="77777777" w:rsidR="00F216BD" w:rsidRPr="00B45B9D" w:rsidRDefault="00F216BD" w:rsidP="0079446A">
      <w:pPr>
        <w:pStyle w:val="ListParagraph"/>
        <w:ind w:left="1440"/>
        <w:jc w:val="both"/>
        <w:rPr>
          <w:b/>
          <w:sz w:val="24"/>
        </w:rPr>
      </w:pPr>
    </w:p>
    <w:p w14:paraId="675D9788" w14:textId="25A07EE2" w:rsidR="00F216BD" w:rsidRPr="00B45B9D" w:rsidRDefault="00F216BD" w:rsidP="00B45B9D">
      <w:pPr>
        <w:pStyle w:val="BodyText"/>
        <w:rPr>
          <w:rFonts w:ascii="Times New Roman" w:hAnsi="Times New Roman"/>
        </w:rPr>
      </w:pPr>
      <w:r w:rsidRPr="00B45B9D">
        <w:rPr>
          <w:rFonts w:ascii="Times New Roman" w:hAnsi="Times New Roman"/>
        </w:rPr>
        <w:tab/>
        <w:t xml:space="preserve">In their jurisprudence about criminal sentencing of children, the Court has discussed extensively how extreme and severe a sentence of life without parole is for a child. The Court held that for a child to be so sentenced, he must be the “rare juvenile offender whose crime reflects irreparable corruption.” </w:t>
      </w:r>
      <w:r w:rsidR="00EE29E3" w:rsidRPr="00B45B9D">
        <w:rPr>
          <w:rFonts w:ascii="Times New Roman" w:hAnsi="Times New Roman"/>
          <w:i/>
        </w:rPr>
        <w:t>Miller v. Alabama</w:t>
      </w:r>
      <w:r w:rsidR="00EE29E3" w:rsidRPr="00B45B9D">
        <w:rPr>
          <w:rFonts w:ascii="Times New Roman" w:hAnsi="Times New Roman"/>
        </w:rPr>
        <w:t>, 567 U.S. 460, 479–80, 132 S. Ct. 2455, 2469, 183 L. Ed. 2d 407 (2012). T</w:t>
      </w:r>
      <w:r w:rsidRPr="00B45B9D">
        <w:rPr>
          <w:rFonts w:ascii="Times New Roman" w:hAnsi="Times New Roman"/>
        </w:rPr>
        <w:t xml:space="preserve">he Court has held that “this ultimate penalty for juveniles [is] akin to the death penalty, [and therefore has] treated it similarly to that most severe punishment.” </w:t>
      </w:r>
      <w:r w:rsidRPr="00B45B9D">
        <w:rPr>
          <w:rFonts w:ascii="Times New Roman" w:hAnsi="Times New Roman"/>
          <w:i/>
        </w:rPr>
        <w:t>Id</w:t>
      </w:r>
      <w:r w:rsidRPr="00B45B9D">
        <w:rPr>
          <w:rFonts w:ascii="Times New Roman" w:hAnsi="Times New Roman"/>
        </w:rPr>
        <w:t xml:space="preserve">. at 474, </w:t>
      </w:r>
      <w:r w:rsidRPr="00B45B9D">
        <w:rPr>
          <w:rFonts w:ascii="Times New Roman" w:hAnsi="Times New Roman"/>
          <w:i/>
        </w:rPr>
        <w:t>citing</w:t>
      </w:r>
      <w:r w:rsidR="00B1641B" w:rsidRPr="00B45B9D">
        <w:rPr>
          <w:rFonts w:ascii="Times New Roman" w:hAnsi="Times New Roman"/>
        </w:rPr>
        <w:t xml:space="preserve"> </w:t>
      </w:r>
      <w:r w:rsidR="00B1641B" w:rsidRPr="00B45B9D">
        <w:rPr>
          <w:rFonts w:ascii="Times New Roman" w:hAnsi="Times New Roman"/>
          <w:i/>
        </w:rPr>
        <w:t xml:space="preserve">Graham v. </w:t>
      </w:r>
      <w:r w:rsidR="00A83836">
        <w:rPr>
          <w:rFonts w:ascii="Times New Roman" w:hAnsi="Times New Roman"/>
          <w:i/>
        </w:rPr>
        <w:t>Florida</w:t>
      </w:r>
      <w:r w:rsidR="00B1641B" w:rsidRPr="00B45B9D">
        <w:rPr>
          <w:rFonts w:ascii="Times New Roman" w:hAnsi="Times New Roman"/>
        </w:rPr>
        <w:t>, 560 U.S. 48, 69-</w:t>
      </w:r>
      <w:r w:rsidR="00B1641B" w:rsidRPr="00B45B9D">
        <w:rPr>
          <w:rFonts w:ascii="Times New Roman" w:hAnsi="Times New Roman"/>
        </w:rPr>
        <w:lastRenderedPageBreak/>
        <w:t>70, 130 S. Ct. 2011, 2027, 176 L. Ed. 2d 825 (2010)</w:t>
      </w:r>
      <w:r w:rsidRPr="00B45B9D">
        <w:rPr>
          <w:rFonts w:ascii="Times New Roman" w:hAnsi="Times New Roman"/>
        </w:rPr>
        <w:t xml:space="preserve">. Given </w:t>
      </w:r>
      <w:r w:rsidR="0020540C" w:rsidRPr="00B45B9D">
        <w:rPr>
          <w:rFonts w:ascii="Times New Roman" w:hAnsi="Times New Roman"/>
        </w:rPr>
        <w:t xml:space="preserve">the </w:t>
      </w:r>
      <w:r w:rsidRPr="00B45B9D">
        <w:rPr>
          <w:rFonts w:ascii="Times New Roman" w:hAnsi="Times New Roman"/>
        </w:rPr>
        <w:t>severity of such a punishment,</w:t>
      </w:r>
      <w:r w:rsidR="0020540C" w:rsidRPr="00B45B9D">
        <w:rPr>
          <w:rFonts w:ascii="Times New Roman" w:hAnsi="Times New Roman"/>
        </w:rPr>
        <w:t xml:space="preserve"> any</w:t>
      </w:r>
      <w:r w:rsidRPr="00B45B9D">
        <w:rPr>
          <w:rFonts w:ascii="Times New Roman" w:hAnsi="Times New Roman"/>
        </w:rPr>
        <w:t xml:space="preserve"> child facing such a </w:t>
      </w:r>
      <w:r w:rsidR="0020540C" w:rsidRPr="00B45B9D">
        <w:rPr>
          <w:rFonts w:ascii="Times New Roman" w:hAnsi="Times New Roman"/>
        </w:rPr>
        <w:t>sentence should</w:t>
      </w:r>
      <w:r w:rsidRPr="00B45B9D">
        <w:rPr>
          <w:rFonts w:ascii="Times New Roman" w:hAnsi="Times New Roman"/>
        </w:rPr>
        <w:t xml:space="preserve"> not be denied his </w:t>
      </w:r>
      <w:r w:rsidR="00B1641B" w:rsidRPr="00B45B9D">
        <w:rPr>
          <w:rFonts w:ascii="Times New Roman" w:hAnsi="Times New Roman"/>
        </w:rPr>
        <w:t>Constitutional rights to equal p</w:t>
      </w:r>
      <w:r w:rsidRPr="00B45B9D">
        <w:rPr>
          <w:rFonts w:ascii="Times New Roman" w:hAnsi="Times New Roman"/>
        </w:rPr>
        <w:t xml:space="preserve">rotection of </w:t>
      </w:r>
      <w:r w:rsidR="00181C7E" w:rsidRPr="00B45B9D">
        <w:rPr>
          <w:rFonts w:ascii="Times New Roman" w:hAnsi="Times New Roman"/>
        </w:rPr>
        <w:t xml:space="preserve">law and to </w:t>
      </w:r>
      <w:r w:rsidRPr="00B45B9D">
        <w:rPr>
          <w:rFonts w:ascii="Times New Roman" w:hAnsi="Times New Roman"/>
        </w:rPr>
        <w:t>a unanimous jury</w:t>
      </w:r>
      <w:r w:rsidR="00181C7E" w:rsidRPr="00B45B9D">
        <w:rPr>
          <w:rFonts w:ascii="Times New Roman" w:hAnsi="Times New Roman"/>
        </w:rPr>
        <w:t xml:space="preserve"> verdict</w:t>
      </w:r>
      <w:r w:rsidRPr="00B45B9D">
        <w:rPr>
          <w:rFonts w:ascii="Times New Roman" w:hAnsi="Times New Roman"/>
        </w:rPr>
        <w:t>.</w:t>
      </w:r>
      <w:r w:rsidR="00181C7E" w:rsidRPr="00B45B9D">
        <w:rPr>
          <w:rFonts w:ascii="Times New Roman" w:hAnsi="Times New Roman"/>
        </w:rPr>
        <w:t xml:space="preserve"> A</w:t>
      </w:r>
      <w:r w:rsidRPr="00B45B9D">
        <w:rPr>
          <w:rFonts w:ascii="Times New Roman" w:hAnsi="Times New Roman"/>
        </w:rPr>
        <w:t xml:space="preserve"> possible constitutional </w:t>
      </w:r>
      <w:r w:rsidR="00181C7E" w:rsidRPr="00B45B9D">
        <w:rPr>
          <w:rFonts w:ascii="Times New Roman" w:hAnsi="Times New Roman"/>
        </w:rPr>
        <w:t>violation in</w:t>
      </w:r>
      <w:r w:rsidRPr="00B45B9D">
        <w:rPr>
          <w:rFonts w:ascii="Times New Roman" w:hAnsi="Times New Roman"/>
        </w:rPr>
        <w:t xml:space="preserve"> this context should be weighed </w:t>
      </w:r>
      <w:r w:rsidR="00181C7E" w:rsidRPr="00B45B9D">
        <w:rPr>
          <w:rFonts w:ascii="Times New Roman" w:hAnsi="Times New Roman"/>
        </w:rPr>
        <w:t>heavily</w:t>
      </w:r>
      <w:r w:rsidRPr="00B45B9D">
        <w:rPr>
          <w:rFonts w:ascii="Times New Roman" w:hAnsi="Times New Roman"/>
        </w:rPr>
        <w:t xml:space="preserve"> by this Court. There is no reason to </w:t>
      </w:r>
      <w:r w:rsidR="00181C7E" w:rsidRPr="00B45B9D">
        <w:rPr>
          <w:rFonts w:ascii="Times New Roman" w:hAnsi="Times New Roman"/>
        </w:rPr>
        <w:t>take such</w:t>
      </w:r>
      <w:r w:rsidRPr="00B45B9D">
        <w:rPr>
          <w:rFonts w:ascii="Times New Roman" w:hAnsi="Times New Roman"/>
        </w:rPr>
        <w:t xml:space="preserve"> a </w:t>
      </w:r>
      <w:r w:rsidR="00E10766" w:rsidRPr="00B45B9D">
        <w:rPr>
          <w:rFonts w:ascii="Times New Roman" w:hAnsi="Times New Roman"/>
        </w:rPr>
        <w:t>risk when</w:t>
      </w:r>
      <w:r w:rsidRPr="00B45B9D">
        <w:rPr>
          <w:rFonts w:ascii="Times New Roman" w:hAnsi="Times New Roman"/>
        </w:rPr>
        <w:t xml:space="preserve"> the consequences </w:t>
      </w:r>
      <w:r w:rsidR="00E10766" w:rsidRPr="00B45B9D">
        <w:rPr>
          <w:rFonts w:ascii="Times New Roman" w:hAnsi="Times New Roman"/>
        </w:rPr>
        <w:t>faced</w:t>
      </w:r>
      <w:r w:rsidRPr="00B45B9D">
        <w:rPr>
          <w:rFonts w:ascii="Times New Roman" w:hAnsi="Times New Roman"/>
        </w:rPr>
        <w:t xml:space="preserve"> by </w:t>
      </w:r>
      <w:r w:rsidR="004E2488">
        <w:rPr>
          <w:lang w:val="en-CA"/>
        </w:rPr>
        <w:t>[</w:t>
      </w:r>
      <w:r w:rsidR="004E2488" w:rsidRPr="000726DA">
        <w:rPr>
          <w:highlight w:val="yellow"/>
          <w:lang w:val="en-CA"/>
        </w:rPr>
        <w:t>NAME OF CLIENT</w:t>
      </w:r>
      <w:r w:rsidR="004E2488">
        <w:rPr>
          <w:lang w:val="en-CA"/>
        </w:rPr>
        <w:t>]</w:t>
      </w:r>
      <w:r w:rsidRPr="00B45B9D">
        <w:rPr>
          <w:rFonts w:ascii="Times New Roman" w:hAnsi="Times New Roman"/>
        </w:rPr>
        <w:t xml:space="preserve"> </w:t>
      </w:r>
      <w:r w:rsidR="00DA2614" w:rsidRPr="00B45B9D">
        <w:rPr>
          <w:rFonts w:ascii="Times New Roman" w:hAnsi="Times New Roman"/>
        </w:rPr>
        <w:t>are</w:t>
      </w:r>
      <w:r w:rsidRPr="00B45B9D">
        <w:rPr>
          <w:rFonts w:ascii="Times New Roman" w:hAnsi="Times New Roman"/>
        </w:rPr>
        <w:t xml:space="preserve"> so severe and permanent.</w:t>
      </w:r>
    </w:p>
    <w:p w14:paraId="33B32D60" w14:textId="7BE3D52E" w:rsidR="00F216BD" w:rsidRPr="00B45B9D" w:rsidRDefault="00BD693E" w:rsidP="00B45B9D">
      <w:pPr>
        <w:pStyle w:val="BodyText"/>
        <w:rPr>
          <w:rFonts w:ascii="Times New Roman" w:hAnsi="Times New Roman"/>
          <w:bCs/>
        </w:rPr>
      </w:pPr>
      <w:r w:rsidRPr="00B45B9D">
        <w:rPr>
          <w:rFonts w:ascii="Times New Roman" w:hAnsi="Times New Roman"/>
          <w:bCs/>
        </w:rPr>
        <w:tab/>
      </w:r>
      <w:r w:rsidR="00CD549B" w:rsidRPr="00B45B9D">
        <w:rPr>
          <w:rFonts w:ascii="Times New Roman" w:hAnsi="Times New Roman"/>
          <w:bCs/>
        </w:rPr>
        <w:t>Given those</w:t>
      </w:r>
      <w:r w:rsidR="00A97A8A" w:rsidRPr="00B45B9D">
        <w:rPr>
          <w:rFonts w:ascii="Times New Roman" w:hAnsi="Times New Roman"/>
          <w:bCs/>
        </w:rPr>
        <w:t xml:space="preserve"> severe potential consequences</w:t>
      </w:r>
      <w:r w:rsidR="00CD549B" w:rsidRPr="00B45B9D">
        <w:rPr>
          <w:rFonts w:ascii="Times New Roman" w:hAnsi="Times New Roman"/>
          <w:bCs/>
        </w:rPr>
        <w:t>, a trial in this case</w:t>
      </w:r>
      <w:r w:rsidR="00A97A8A" w:rsidRPr="00B45B9D">
        <w:rPr>
          <w:rFonts w:ascii="Times New Roman" w:hAnsi="Times New Roman"/>
          <w:bCs/>
        </w:rPr>
        <w:t xml:space="preserve"> </w:t>
      </w:r>
      <w:r w:rsidR="00CD549B" w:rsidRPr="00B45B9D">
        <w:rPr>
          <w:rFonts w:ascii="Times New Roman" w:hAnsi="Times New Roman"/>
          <w:bCs/>
        </w:rPr>
        <w:t xml:space="preserve">requires more resources from the prosecution, the defense and this Court. Proceeding in circumstances where a verdict may well be soon overturned </w:t>
      </w:r>
      <w:r w:rsidR="002D26A5" w:rsidRPr="00B45B9D">
        <w:rPr>
          <w:rFonts w:ascii="Times New Roman" w:hAnsi="Times New Roman"/>
          <w:bCs/>
        </w:rPr>
        <w:t>is simply more costly in this case, and the interests of judicial economy should be weighed when deciding whether or not to proceed.</w:t>
      </w:r>
      <w:r w:rsidR="000D0231" w:rsidRPr="00B45B9D">
        <w:rPr>
          <w:rStyle w:val="FootnoteReference"/>
          <w:rFonts w:ascii="Times New Roman" w:hAnsi="Times New Roman"/>
        </w:rPr>
        <w:t xml:space="preserve"> </w:t>
      </w:r>
      <w:r w:rsidR="000D0231" w:rsidRPr="00B45B9D">
        <w:rPr>
          <w:rStyle w:val="FootnoteReference"/>
          <w:rFonts w:ascii="Times New Roman" w:hAnsi="Times New Roman"/>
        </w:rPr>
        <w:footnoteReference w:id="25"/>
      </w:r>
      <w:r w:rsidR="00F216BD" w:rsidRPr="00B45B9D">
        <w:rPr>
          <w:rFonts w:ascii="Times New Roman" w:hAnsi="Times New Roman"/>
          <w:bCs/>
        </w:rPr>
        <w:t xml:space="preserve"> </w:t>
      </w:r>
      <w:r w:rsidR="00F216BD" w:rsidRPr="00B45B9D">
        <w:rPr>
          <w:rFonts w:ascii="Times New Roman" w:hAnsi="Times New Roman"/>
        </w:rPr>
        <w:t xml:space="preserve">The risk </w:t>
      </w:r>
      <w:r w:rsidR="002D26A5" w:rsidRPr="00B45B9D">
        <w:rPr>
          <w:rFonts w:ascii="Times New Roman" w:hAnsi="Times New Roman"/>
        </w:rPr>
        <w:t>of</w:t>
      </w:r>
      <w:r w:rsidR="00F216BD" w:rsidRPr="00B45B9D">
        <w:rPr>
          <w:rFonts w:ascii="Times New Roman" w:hAnsi="Times New Roman"/>
        </w:rPr>
        <w:t xml:space="preserve"> allowing trial to </w:t>
      </w:r>
      <w:r w:rsidR="002D26A5" w:rsidRPr="00B45B9D">
        <w:rPr>
          <w:rFonts w:ascii="Times New Roman" w:hAnsi="Times New Roman"/>
        </w:rPr>
        <w:t>proceed under</w:t>
      </w:r>
      <w:r w:rsidR="00F216BD" w:rsidRPr="00B45B9D">
        <w:rPr>
          <w:rFonts w:ascii="Times New Roman" w:hAnsi="Times New Roman"/>
        </w:rPr>
        <w:t xml:space="preserve"> an </w:t>
      </w:r>
      <w:r w:rsidR="002D26A5" w:rsidRPr="00B45B9D">
        <w:rPr>
          <w:rFonts w:ascii="Times New Roman" w:hAnsi="Times New Roman"/>
        </w:rPr>
        <w:t>unconstitutional statute</w:t>
      </w:r>
      <w:r w:rsidR="00F216BD" w:rsidRPr="00B45B9D">
        <w:rPr>
          <w:rFonts w:ascii="Times New Roman" w:hAnsi="Times New Roman"/>
        </w:rPr>
        <w:t xml:space="preserve"> </w:t>
      </w:r>
      <w:r w:rsidR="002D0EF9" w:rsidRPr="00B45B9D">
        <w:rPr>
          <w:rFonts w:ascii="Times New Roman" w:hAnsi="Times New Roman"/>
        </w:rPr>
        <w:t>is</w:t>
      </w:r>
      <w:r w:rsidR="00F216BD" w:rsidRPr="00B45B9D">
        <w:rPr>
          <w:rFonts w:ascii="Times New Roman" w:hAnsi="Times New Roman"/>
        </w:rPr>
        <w:t xml:space="preserve"> not just to </w:t>
      </w:r>
      <w:r w:rsidR="00DF23A0">
        <w:rPr>
          <w:lang w:val="en-CA"/>
        </w:rPr>
        <w:t>[</w:t>
      </w:r>
      <w:r w:rsidR="00DF23A0" w:rsidRPr="000726DA">
        <w:rPr>
          <w:highlight w:val="yellow"/>
          <w:lang w:val="en-CA"/>
        </w:rPr>
        <w:t>NAME OF CLIENT</w:t>
      </w:r>
      <w:r w:rsidR="00DF23A0">
        <w:rPr>
          <w:lang w:val="en-CA"/>
        </w:rPr>
        <w:t>]</w:t>
      </w:r>
      <w:r w:rsidR="002D0EF9" w:rsidRPr="00B45B9D">
        <w:rPr>
          <w:rFonts w:ascii="Times New Roman" w:hAnsi="Times New Roman"/>
        </w:rPr>
        <w:t>,</w:t>
      </w:r>
      <w:r w:rsidR="00F216BD" w:rsidRPr="00B45B9D">
        <w:rPr>
          <w:rFonts w:ascii="Times New Roman" w:hAnsi="Times New Roman"/>
        </w:rPr>
        <w:t xml:space="preserve"> </w:t>
      </w:r>
      <w:r w:rsidR="002D0EF9" w:rsidRPr="00B45B9D">
        <w:rPr>
          <w:rFonts w:ascii="Times New Roman" w:hAnsi="Times New Roman"/>
        </w:rPr>
        <w:t>but</w:t>
      </w:r>
      <w:r w:rsidR="00F216BD" w:rsidRPr="00B45B9D">
        <w:rPr>
          <w:rFonts w:ascii="Times New Roman" w:hAnsi="Times New Roman"/>
        </w:rPr>
        <w:t xml:space="preserve"> also to </w:t>
      </w:r>
      <w:r w:rsidR="002D0EF9" w:rsidRPr="00B45B9D">
        <w:rPr>
          <w:rFonts w:ascii="Times New Roman" w:hAnsi="Times New Roman"/>
        </w:rPr>
        <w:t>the</w:t>
      </w:r>
      <w:r w:rsidR="00F216BD" w:rsidRPr="00B45B9D">
        <w:rPr>
          <w:rFonts w:ascii="Times New Roman" w:hAnsi="Times New Roman"/>
        </w:rPr>
        <w:t xml:space="preserve"> </w:t>
      </w:r>
      <w:r w:rsidR="002D0EF9" w:rsidRPr="00B45B9D">
        <w:rPr>
          <w:rFonts w:ascii="Times New Roman" w:hAnsi="Times New Roman"/>
        </w:rPr>
        <w:t>judicial system</w:t>
      </w:r>
      <w:r w:rsidR="00F216BD" w:rsidRPr="00B45B9D">
        <w:rPr>
          <w:rFonts w:ascii="Times New Roman" w:hAnsi="Times New Roman"/>
        </w:rPr>
        <w:t>.</w:t>
      </w:r>
      <w:r w:rsidR="002D0EF9" w:rsidRPr="00B45B9D">
        <w:rPr>
          <w:rFonts w:ascii="Times New Roman" w:hAnsi="Times New Roman"/>
        </w:rPr>
        <w:t xml:space="preserve"> The</w:t>
      </w:r>
      <w:r w:rsidR="00F216BD" w:rsidRPr="00B45B9D">
        <w:rPr>
          <w:rFonts w:ascii="Times New Roman" w:hAnsi="Times New Roman"/>
        </w:rPr>
        <w:t xml:space="preserve"> expenditure of judicial and </w:t>
      </w:r>
      <w:r w:rsidR="00F216BD" w:rsidRPr="00B45B9D">
        <w:rPr>
          <w:rFonts w:ascii="Times New Roman" w:hAnsi="Times New Roman"/>
        </w:rPr>
        <w:lastRenderedPageBreak/>
        <w:t xml:space="preserve">attorney resources is heightened in the prosecution of children </w:t>
      </w:r>
      <w:r w:rsidR="00000D3A" w:rsidRPr="00B45B9D">
        <w:rPr>
          <w:rFonts w:ascii="Times New Roman" w:hAnsi="Times New Roman"/>
        </w:rPr>
        <w:t xml:space="preserve">eligible </w:t>
      </w:r>
      <w:r w:rsidR="00F216BD" w:rsidRPr="00B45B9D">
        <w:rPr>
          <w:rFonts w:ascii="Times New Roman" w:hAnsi="Times New Roman"/>
        </w:rPr>
        <w:t xml:space="preserve">for life-without-parole sentences. </w:t>
      </w:r>
    </w:p>
    <w:p w14:paraId="7BE09051" w14:textId="15ADC653" w:rsidR="00F216BD" w:rsidRPr="00B45B9D" w:rsidRDefault="00F216BD" w:rsidP="00B45B9D">
      <w:pPr>
        <w:spacing w:line="480" w:lineRule="auto"/>
        <w:ind w:firstLine="720"/>
        <w:jc w:val="both"/>
        <w:rPr>
          <w:sz w:val="24"/>
        </w:rPr>
      </w:pPr>
      <w:r w:rsidRPr="00B45B9D">
        <w:rPr>
          <w:sz w:val="24"/>
        </w:rPr>
        <w:t>The new and significant obligations on attorneys defending children facing life without parole, as well as the courts adjudicating those children’s cases</w:t>
      </w:r>
      <w:r w:rsidR="00000D3A" w:rsidRPr="00B45B9D">
        <w:rPr>
          <w:sz w:val="24"/>
        </w:rPr>
        <w:t>,</w:t>
      </w:r>
      <w:r w:rsidRPr="00B45B9D">
        <w:rPr>
          <w:sz w:val="24"/>
        </w:rPr>
        <w:t xml:space="preserve"> mean that going to trial under a statute likely to soon be found unconstitutional is a substantial risk.  Significant judicial, prosecutorial,</w:t>
      </w:r>
      <w:r w:rsidR="009D7B8D" w:rsidRPr="00B45B9D">
        <w:rPr>
          <w:sz w:val="24"/>
        </w:rPr>
        <w:t xml:space="preserve"> </w:t>
      </w:r>
      <w:r w:rsidRPr="00B45B9D">
        <w:rPr>
          <w:sz w:val="24"/>
        </w:rPr>
        <w:t xml:space="preserve">and state defender resources would be spent for nothing and then have to be spent again if </w:t>
      </w:r>
      <w:r w:rsidR="009D7B8D" w:rsidRPr="00B45B9D">
        <w:rPr>
          <w:sz w:val="24"/>
        </w:rPr>
        <w:t>this</w:t>
      </w:r>
      <w:r w:rsidRPr="00B45B9D">
        <w:rPr>
          <w:sz w:val="24"/>
        </w:rPr>
        <w:t xml:space="preserve"> case were to proceed to trial without a unanimity requirement. The duties and obligations of defense counsel in representing a child such as </w:t>
      </w:r>
      <w:r w:rsidR="00DF23A0">
        <w:rPr>
          <w:sz w:val="24"/>
          <w:lang w:val="en-CA"/>
        </w:rPr>
        <w:t>[</w:t>
      </w:r>
      <w:r w:rsidR="00DF23A0" w:rsidRPr="000726DA">
        <w:rPr>
          <w:sz w:val="24"/>
          <w:highlight w:val="yellow"/>
          <w:lang w:val="en-CA"/>
        </w:rPr>
        <w:t>NAME OF CLIENT</w:t>
      </w:r>
      <w:r w:rsidR="00DF23A0">
        <w:rPr>
          <w:sz w:val="24"/>
          <w:lang w:val="en-CA"/>
        </w:rPr>
        <w:t>]</w:t>
      </w:r>
      <w:r w:rsidRPr="00B45B9D">
        <w:rPr>
          <w:sz w:val="24"/>
        </w:rPr>
        <w:t xml:space="preserve"> are codified in the Performance Standards for Attorneys Representing Juveniles in Life Without Parole Cases that have been promulgated by the Louisiana Public Defender Board and codified into the Louisiana Administrative Code. See generally, LAC 22:XV.Ch 21. </w:t>
      </w:r>
    </w:p>
    <w:p w14:paraId="710D6876" w14:textId="32C6834B" w:rsidR="00F216BD" w:rsidRPr="00B45B9D" w:rsidRDefault="00F216BD" w:rsidP="00B45B9D">
      <w:pPr>
        <w:spacing w:line="480" w:lineRule="auto"/>
        <w:ind w:firstLine="720"/>
        <w:jc w:val="both"/>
        <w:rPr>
          <w:sz w:val="24"/>
        </w:rPr>
      </w:pPr>
      <w:r w:rsidRPr="00B45B9D">
        <w:rPr>
          <w:sz w:val="24"/>
        </w:rPr>
        <w:t xml:space="preserve">Because of the rigorous demands of litigating </w:t>
      </w:r>
      <w:r w:rsidRPr="00B45B9D">
        <w:rPr>
          <w:i/>
          <w:sz w:val="24"/>
        </w:rPr>
        <w:t>Miller</w:t>
      </w:r>
      <w:r w:rsidRPr="00B45B9D">
        <w:rPr>
          <w:sz w:val="24"/>
        </w:rPr>
        <w:t xml:space="preserve"> cases, “[a] minimum of two counsel shall be assigned to each case.” </w:t>
      </w:r>
      <w:r w:rsidRPr="00B45B9D">
        <w:rPr>
          <w:i/>
          <w:sz w:val="24"/>
        </w:rPr>
        <w:t>Id</w:t>
      </w:r>
      <w:r w:rsidRPr="00B45B9D">
        <w:rPr>
          <w:sz w:val="24"/>
        </w:rPr>
        <w:t xml:space="preserve">. at § 2115(A). Among counsel on the case, “[a]t least one attorney must have specialized training and relevant substantive expertise </w:t>
      </w:r>
      <w:r w:rsidRPr="00B45B9D">
        <w:rPr>
          <w:sz w:val="24"/>
        </w:rPr>
        <w:lastRenderedPageBreak/>
        <w:t xml:space="preserve">representing child clients[.] . . . In particular, at least one attorney must have experience interviewing and communicating with child clients in a trauma-informed and developmentally appropriate manner.” </w:t>
      </w:r>
      <w:r w:rsidRPr="00B45B9D">
        <w:rPr>
          <w:i/>
          <w:sz w:val="24"/>
        </w:rPr>
        <w:t>Id</w:t>
      </w:r>
      <w:r w:rsidRPr="00B45B9D">
        <w:rPr>
          <w:sz w:val="24"/>
        </w:rPr>
        <w:t xml:space="preserve">. at § 2105(C)(1). This already imposes a burden on defender resources, </w:t>
      </w:r>
      <w:r w:rsidR="00000D3A" w:rsidRPr="00B45B9D">
        <w:rPr>
          <w:sz w:val="24"/>
        </w:rPr>
        <w:t xml:space="preserve">and </w:t>
      </w:r>
      <w:r w:rsidRPr="00B45B9D">
        <w:rPr>
          <w:sz w:val="24"/>
        </w:rPr>
        <w:t>necessarily increases the expense associated with going to trial.</w:t>
      </w:r>
    </w:p>
    <w:p w14:paraId="2A6D6C95" w14:textId="789D0FFE" w:rsidR="00F216BD" w:rsidRPr="00B45B9D" w:rsidRDefault="00F216BD" w:rsidP="00B45B9D">
      <w:pPr>
        <w:spacing w:line="480" w:lineRule="auto"/>
        <w:ind w:firstLine="720"/>
        <w:jc w:val="both"/>
        <w:rPr>
          <w:sz w:val="24"/>
        </w:rPr>
      </w:pPr>
      <w:r w:rsidRPr="00B45B9D">
        <w:rPr>
          <w:sz w:val="24"/>
        </w:rPr>
        <w:t>Additionally, the Standards require an extensive investigation of both the guilt and sentencing aspects of the defense prior to the adoption of strategic decisions and trial preparation.</w:t>
      </w:r>
      <w:r w:rsidR="00F53B9B" w:rsidRPr="00B45B9D">
        <w:rPr>
          <w:sz w:val="24"/>
        </w:rPr>
        <w:t xml:space="preserve"> </w:t>
      </w:r>
      <w:r w:rsidRPr="00B45B9D">
        <w:rPr>
          <w:sz w:val="24"/>
        </w:rPr>
        <w:t xml:space="preserve"> A child facing life without parole is entitled to a mitigation specialist, with specialized training and expertise, in addition to the usual investigatory resources, including expert witnesses, necessary to an adequate defense of an adult.  Specifically, “[c]ounsel has an ongoing duty to conduct a high quality, independent, exhaustive investigation of all matters relevant to the guilt phase, sentencing phase, [and] possible agreed upon disposition.” </w:t>
      </w:r>
      <w:r w:rsidRPr="00B45B9D">
        <w:rPr>
          <w:i/>
          <w:sz w:val="24"/>
        </w:rPr>
        <w:t>Id</w:t>
      </w:r>
      <w:r w:rsidRPr="00B45B9D">
        <w:rPr>
          <w:sz w:val="24"/>
        </w:rPr>
        <w:t xml:space="preserve">. at § 2125(A)(1). Counsel’s investigation must be “thorough, and independent,” </w:t>
      </w:r>
      <w:r w:rsidRPr="00B45B9D">
        <w:rPr>
          <w:i/>
          <w:sz w:val="24"/>
        </w:rPr>
        <w:t>Id</w:t>
      </w:r>
      <w:r w:rsidRPr="00B45B9D">
        <w:rPr>
          <w:sz w:val="24"/>
        </w:rPr>
        <w:t xml:space="preserve">., and “[n]o area of inquiry or possible evidence in the guilt or sentencing phase investigations should be ruled out until a thorough investigation has been conducted.” The Standards articulate extensive requirements for the pre-trial investigation of </w:t>
      </w:r>
      <w:r w:rsidRPr="00B45B9D">
        <w:rPr>
          <w:sz w:val="24"/>
        </w:rPr>
        <w:lastRenderedPageBreak/>
        <w:t xml:space="preserve">all </w:t>
      </w:r>
      <w:r w:rsidRPr="00B45B9D">
        <w:rPr>
          <w:i/>
          <w:sz w:val="24"/>
        </w:rPr>
        <w:t xml:space="preserve">Miller </w:t>
      </w:r>
      <w:r w:rsidRPr="00B45B9D">
        <w:rPr>
          <w:sz w:val="24"/>
        </w:rPr>
        <w:t xml:space="preserve">cases that focus equally on the guilt and sentencing phases of trial. See generally, </w:t>
      </w:r>
      <w:r w:rsidRPr="00B45B9D">
        <w:rPr>
          <w:i/>
          <w:sz w:val="24"/>
        </w:rPr>
        <w:t>Id</w:t>
      </w:r>
      <w:r w:rsidRPr="00B45B9D">
        <w:rPr>
          <w:sz w:val="24"/>
        </w:rPr>
        <w:t>. at §2127(A)-(E). Given the constitutional question that is currently before the Supreme Court for disposition, and the consequent possibility of reversal, it would be unnecessarily wasteful to proceed to trial without requiring a unanimous jury verdict at the guilt phase of trial, or at least stay the case pending the ruling</w:t>
      </w:r>
      <w:r w:rsidR="00497C4A" w:rsidRPr="00B45B9D">
        <w:rPr>
          <w:sz w:val="24"/>
        </w:rPr>
        <w:t xml:space="preserve"> of the Court.</w:t>
      </w:r>
    </w:p>
    <w:p w14:paraId="2B495EDA" w14:textId="77777777" w:rsidR="00F216BD" w:rsidRPr="00B45B9D" w:rsidRDefault="00F216BD" w:rsidP="002113A9">
      <w:pPr>
        <w:spacing w:line="480" w:lineRule="auto"/>
        <w:ind w:left="720"/>
        <w:jc w:val="center"/>
        <w:rPr>
          <w:b/>
          <w:sz w:val="24"/>
        </w:rPr>
      </w:pPr>
    </w:p>
    <w:p w14:paraId="69B77A1E" w14:textId="6F9E69AF" w:rsidR="00D45530" w:rsidRPr="00B45B9D" w:rsidRDefault="00D45530" w:rsidP="002113A9">
      <w:pPr>
        <w:spacing w:line="480" w:lineRule="auto"/>
        <w:ind w:left="720"/>
        <w:jc w:val="center"/>
        <w:rPr>
          <w:b/>
          <w:sz w:val="24"/>
        </w:rPr>
      </w:pPr>
      <w:r w:rsidRPr="00B45B9D">
        <w:rPr>
          <w:b/>
          <w:sz w:val="24"/>
        </w:rPr>
        <w:t>CONCLUSION</w:t>
      </w:r>
    </w:p>
    <w:p w14:paraId="3ED4BA2C" w14:textId="45192BC7" w:rsidR="007D1407" w:rsidRPr="00B45B9D" w:rsidRDefault="007D1407" w:rsidP="0027392C">
      <w:pPr>
        <w:numPr>
          <w:ilvl w:val="12"/>
          <w:numId w:val="0"/>
        </w:numPr>
        <w:spacing w:line="480" w:lineRule="auto"/>
        <w:jc w:val="both"/>
        <w:rPr>
          <w:sz w:val="24"/>
        </w:rPr>
      </w:pPr>
      <w:r w:rsidRPr="00B45B9D">
        <w:rPr>
          <w:sz w:val="24"/>
        </w:rPr>
        <w:tab/>
        <w:t xml:space="preserve">WHEREFORE, </w:t>
      </w:r>
      <w:r w:rsidR="00143F6D" w:rsidRPr="00B45B9D">
        <w:rPr>
          <w:sz w:val="24"/>
        </w:rPr>
        <w:t xml:space="preserve">because La. Const. 1§ 17 </w:t>
      </w:r>
      <w:r w:rsidR="007C070C" w:rsidRPr="00B45B9D">
        <w:rPr>
          <w:sz w:val="24"/>
        </w:rPr>
        <w:t>and La. C.</w:t>
      </w:r>
      <w:r w:rsidR="00CE388B" w:rsidRPr="00B45B9D">
        <w:rPr>
          <w:sz w:val="24"/>
        </w:rPr>
        <w:t xml:space="preserve">Cr.P. art. 782 </w:t>
      </w:r>
      <w:r w:rsidR="00143F6D" w:rsidRPr="00B45B9D">
        <w:rPr>
          <w:sz w:val="24"/>
        </w:rPr>
        <w:t xml:space="preserve">violate </w:t>
      </w:r>
      <w:r w:rsidR="00BD7B4F">
        <w:rPr>
          <w:sz w:val="24"/>
          <w:lang w:val="en-CA"/>
        </w:rPr>
        <w:t>[</w:t>
      </w:r>
      <w:r w:rsidR="00BD7B4F" w:rsidRPr="000726DA">
        <w:rPr>
          <w:sz w:val="24"/>
          <w:highlight w:val="yellow"/>
          <w:lang w:val="en-CA"/>
        </w:rPr>
        <w:t>NAME OF CLIENT</w:t>
      </w:r>
      <w:r w:rsidR="00BD7B4F">
        <w:rPr>
          <w:sz w:val="24"/>
          <w:lang w:val="en-CA"/>
        </w:rPr>
        <w:t>]</w:t>
      </w:r>
      <w:r w:rsidR="00143F6D" w:rsidRPr="00B45B9D">
        <w:rPr>
          <w:sz w:val="24"/>
        </w:rPr>
        <w:t>’s right to a unanimous jury verdict under the Sixth</w:t>
      </w:r>
      <w:r w:rsidR="003C7DAA" w:rsidRPr="00B45B9D">
        <w:rPr>
          <w:sz w:val="24"/>
        </w:rPr>
        <w:t xml:space="preserve"> and Fourteenth</w:t>
      </w:r>
      <w:r w:rsidR="00143F6D" w:rsidRPr="00B45B9D">
        <w:rPr>
          <w:sz w:val="24"/>
        </w:rPr>
        <w:t xml:space="preserve"> Amendment</w:t>
      </w:r>
      <w:r w:rsidR="003C7DAA" w:rsidRPr="00B45B9D">
        <w:rPr>
          <w:sz w:val="24"/>
        </w:rPr>
        <w:t>s</w:t>
      </w:r>
      <w:r w:rsidR="00143F6D" w:rsidRPr="00B45B9D">
        <w:rPr>
          <w:sz w:val="24"/>
        </w:rPr>
        <w:t xml:space="preserve"> and violate his Equal Protection rights under the Fourteenth Amendment,</w:t>
      </w:r>
      <w:r w:rsidR="00187CB5" w:rsidRPr="00B45B9D">
        <w:rPr>
          <w:sz w:val="24"/>
        </w:rPr>
        <w:t xml:space="preserve"> </w:t>
      </w:r>
      <w:r w:rsidR="00F92D38">
        <w:rPr>
          <w:sz w:val="24"/>
          <w:lang w:val="en-CA"/>
        </w:rPr>
        <w:t>[</w:t>
      </w:r>
      <w:r w:rsidR="00F92D38" w:rsidRPr="000726DA">
        <w:rPr>
          <w:sz w:val="24"/>
          <w:highlight w:val="yellow"/>
          <w:lang w:val="en-CA"/>
        </w:rPr>
        <w:t>NAME OF CLIENT</w:t>
      </w:r>
      <w:r w:rsidR="00F92D38">
        <w:rPr>
          <w:sz w:val="24"/>
          <w:lang w:val="en-CA"/>
        </w:rPr>
        <w:t>]</w:t>
      </w:r>
      <w:r w:rsidR="00143F6D" w:rsidRPr="00B45B9D">
        <w:rPr>
          <w:sz w:val="24"/>
        </w:rPr>
        <w:t xml:space="preserve"> moves</w:t>
      </w:r>
      <w:r w:rsidRPr="00B45B9D">
        <w:rPr>
          <w:sz w:val="24"/>
        </w:rPr>
        <w:t xml:space="preserve"> that this Court</w:t>
      </w:r>
      <w:r w:rsidR="004A4BFB" w:rsidRPr="00B45B9D">
        <w:rPr>
          <w:sz w:val="24"/>
        </w:rPr>
        <w:t xml:space="preserve"> </w:t>
      </w:r>
      <w:r w:rsidR="002C1C1A" w:rsidRPr="00B45B9D">
        <w:rPr>
          <w:sz w:val="24"/>
        </w:rPr>
        <w:t>set an evidentiary hearing on this motion</w:t>
      </w:r>
      <w:r w:rsidR="004A4BFB" w:rsidRPr="00B45B9D">
        <w:rPr>
          <w:sz w:val="24"/>
        </w:rPr>
        <w:t xml:space="preserve">, or, in the alternative, stay all proceedings until the U.S. Supreme Court issues a ruling on </w:t>
      </w:r>
      <w:r w:rsidR="004A4BFB" w:rsidRPr="00B45B9D">
        <w:rPr>
          <w:i/>
          <w:sz w:val="24"/>
        </w:rPr>
        <w:t>Ramos v. Louisiana</w:t>
      </w:r>
      <w:r w:rsidR="004A4BFB" w:rsidRPr="00B45B9D">
        <w:rPr>
          <w:sz w:val="24"/>
        </w:rPr>
        <w:t>.</w:t>
      </w:r>
    </w:p>
    <w:p w14:paraId="4B149F5F" w14:textId="77777777" w:rsidR="00D5232C" w:rsidRPr="00B45B9D" w:rsidRDefault="00D5232C" w:rsidP="0027392C">
      <w:pPr>
        <w:numPr>
          <w:ilvl w:val="12"/>
          <w:numId w:val="0"/>
        </w:numPr>
        <w:spacing w:line="480" w:lineRule="auto"/>
        <w:jc w:val="both"/>
        <w:rPr>
          <w:sz w:val="24"/>
        </w:rPr>
      </w:pPr>
    </w:p>
    <w:p w14:paraId="4C680781" w14:textId="77777777" w:rsidR="005D1F72" w:rsidRPr="005D1F72" w:rsidRDefault="005D1F72" w:rsidP="005D1F72">
      <w:pPr>
        <w:widowControl/>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spacing w:line="480" w:lineRule="auto"/>
        <w:ind w:left="5040"/>
        <w:jc w:val="both"/>
        <w:rPr>
          <w:sz w:val="24"/>
        </w:rPr>
      </w:pPr>
      <w:r w:rsidRPr="005D1F72">
        <w:rPr>
          <w:sz w:val="24"/>
        </w:rPr>
        <w:t>Respectfully Submitted,</w:t>
      </w:r>
    </w:p>
    <w:p w14:paraId="4DF4B38F" w14:textId="77777777" w:rsidR="005D1F72" w:rsidRPr="005D1F72" w:rsidRDefault="005D1F72" w:rsidP="005D1F72">
      <w:pPr>
        <w:widowControl/>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spacing w:line="480" w:lineRule="auto"/>
        <w:ind w:left="5040"/>
        <w:jc w:val="both"/>
        <w:rPr>
          <w:sz w:val="24"/>
        </w:rPr>
      </w:pPr>
    </w:p>
    <w:p w14:paraId="3F994AAB" w14:textId="72F47A9A"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5040"/>
        <w:jc w:val="both"/>
        <w:rPr>
          <w:sz w:val="24"/>
        </w:rPr>
      </w:pPr>
      <w:r w:rsidRPr="005D1F72">
        <w:rPr>
          <w:sz w:val="24"/>
        </w:rPr>
        <w:t xml:space="preserve">_______________________                </w:t>
      </w:r>
      <w:r w:rsidRPr="005D1F72">
        <w:rPr>
          <w:sz w:val="24"/>
        </w:rPr>
        <w:tab/>
      </w:r>
      <w:r w:rsidRPr="005D1F72">
        <w:rPr>
          <w:sz w:val="24"/>
        </w:rPr>
        <w:tab/>
      </w:r>
      <w:r w:rsidRPr="005D1F72">
        <w:rPr>
          <w:sz w:val="24"/>
        </w:rPr>
        <w:tab/>
      </w:r>
      <w:r w:rsidRPr="005D1F72">
        <w:rPr>
          <w:sz w:val="24"/>
        </w:rPr>
        <w:tab/>
      </w:r>
      <w:r w:rsidRPr="005D1F72">
        <w:rPr>
          <w:sz w:val="24"/>
        </w:rPr>
        <w:tab/>
      </w:r>
      <w:r w:rsidRPr="005D1F72">
        <w:rPr>
          <w:sz w:val="24"/>
        </w:rPr>
        <w:tab/>
      </w:r>
      <w:r w:rsidRPr="005D1F72">
        <w:rPr>
          <w:sz w:val="24"/>
        </w:rPr>
        <w:tab/>
      </w:r>
      <w:r>
        <w:rPr>
          <w:sz w:val="24"/>
        </w:rPr>
        <w:tab/>
      </w:r>
      <w:r w:rsidRPr="005D1F72">
        <w:rPr>
          <w:sz w:val="24"/>
        </w:rPr>
        <w:t>{Attorney Full Name}</w:t>
      </w:r>
    </w:p>
    <w:p w14:paraId="76D2542A"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5040"/>
        <w:jc w:val="both"/>
        <w:rPr>
          <w:sz w:val="24"/>
        </w:rPr>
      </w:pPr>
      <w:r w:rsidRPr="005D1F72">
        <w:rPr>
          <w:sz w:val="24"/>
          <w:highlight w:val="yellow"/>
        </w:rPr>
        <w:t>[ATTORNEY NAME]</w:t>
      </w:r>
    </w:p>
    <w:p w14:paraId="7DF3CB7C"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5040"/>
        <w:jc w:val="both"/>
        <w:rPr>
          <w:sz w:val="24"/>
        </w:rPr>
      </w:pPr>
      <w:r w:rsidRPr="005D1F72">
        <w:rPr>
          <w:sz w:val="24"/>
        </w:rPr>
        <w:t xml:space="preserve">La. Bar # </w:t>
      </w:r>
      <w:r w:rsidRPr="005D1F72">
        <w:rPr>
          <w:sz w:val="24"/>
          <w:highlight w:val="yellow"/>
        </w:rPr>
        <w:t>[ATTORNEY BAR#]</w:t>
      </w:r>
    </w:p>
    <w:p w14:paraId="0CD25A8C"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5040"/>
        <w:jc w:val="both"/>
        <w:rPr>
          <w:sz w:val="24"/>
          <w:highlight w:val="yellow"/>
        </w:rPr>
      </w:pPr>
      <w:r w:rsidRPr="005D1F72">
        <w:rPr>
          <w:sz w:val="24"/>
          <w:highlight w:val="yellow"/>
        </w:rPr>
        <w:t>[ADDRESS]</w:t>
      </w:r>
    </w:p>
    <w:p w14:paraId="7CE86221"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5040"/>
        <w:jc w:val="both"/>
        <w:rPr>
          <w:sz w:val="24"/>
        </w:rPr>
      </w:pPr>
      <w:r w:rsidRPr="005D1F72">
        <w:rPr>
          <w:sz w:val="24"/>
          <w:highlight w:val="yellow"/>
        </w:rPr>
        <w:t>[PHONE#]</w:t>
      </w:r>
    </w:p>
    <w:p w14:paraId="7A0991CF"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24"/>
        </w:rPr>
      </w:pPr>
    </w:p>
    <w:p w14:paraId="5C2B9BEC"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24"/>
          <w:u w:val="single"/>
        </w:rPr>
      </w:pPr>
    </w:p>
    <w:p w14:paraId="100991F7"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24"/>
          <w:u w:val="single"/>
        </w:rPr>
      </w:pPr>
    </w:p>
    <w:p w14:paraId="5A31736A"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24"/>
          <w:u w:val="single"/>
        </w:rPr>
      </w:pPr>
      <w:r w:rsidRPr="005D1F72">
        <w:rPr>
          <w:sz w:val="24"/>
          <w:u w:val="single"/>
        </w:rPr>
        <w:t>Certificate of Service</w:t>
      </w:r>
    </w:p>
    <w:p w14:paraId="36259CAC"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sz w:val="24"/>
        </w:rPr>
      </w:pPr>
    </w:p>
    <w:p w14:paraId="5BF8534A"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720"/>
        <w:jc w:val="both"/>
        <w:rPr>
          <w:sz w:val="24"/>
        </w:rPr>
      </w:pPr>
      <w:r w:rsidRPr="005D1F72">
        <w:rPr>
          <w:sz w:val="24"/>
        </w:rPr>
        <w:t>I hereby certify that I have caused to be served by mail or hand delivery in open court a copy of the foregoing document upon the Office of the District Attorney, as well as on the Office of the Attorney General, on the day of filing.</w:t>
      </w:r>
    </w:p>
    <w:p w14:paraId="60A031CC"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720"/>
        <w:jc w:val="both"/>
        <w:rPr>
          <w:sz w:val="24"/>
        </w:rPr>
      </w:pPr>
    </w:p>
    <w:p w14:paraId="7CA338DF"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720"/>
        <w:jc w:val="both"/>
        <w:rPr>
          <w:sz w:val="24"/>
        </w:rPr>
      </w:pPr>
      <w:r w:rsidRPr="005D1F72">
        <w:rPr>
          <w:sz w:val="24"/>
        </w:rPr>
        <w:tab/>
      </w:r>
      <w:r w:rsidRPr="005D1F72">
        <w:rPr>
          <w:sz w:val="24"/>
        </w:rPr>
        <w:tab/>
      </w:r>
      <w:r w:rsidRPr="005D1F72">
        <w:rPr>
          <w:sz w:val="24"/>
        </w:rPr>
        <w:tab/>
      </w:r>
      <w:r w:rsidRPr="005D1F72">
        <w:rPr>
          <w:sz w:val="24"/>
        </w:rPr>
        <w:tab/>
      </w:r>
      <w:r w:rsidRPr="005D1F72">
        <w:rPr>
          <w:sz w:val="24"/>
        </w:rPr>
        <w:tab/>
      </w:r>
      <w:r w:rsidRPr="005D1F72">
        <w:rPr>
          <w:sz w:val="24"/>
        </w:rPr>
        <w:tab/>
      </w:r>
    </w:p>
    <w:p w14:paraId="1CC9B415" w14:textId="77777777" w:rsidR="005D1F72" w:rsidRPr="005D1F72" w:rsidRDefault="005D1F72" w:rsidP="005D1F7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firstLine="5040"/>
        <w:jc w:val="center"/>
        <w:rPr>
          <w:sz w:val="24"/>
        </w:rPr>
      </w:pPr>
      <w:r w:rsidRPr="005D1F72">
        <w:rPr>
          <w:sz w:val="24"/>
        </w:rPr>
        <w:t xml:space="preserve">_______________________     </w:t>
      </w:r>
      <w:r w:rsidRPr="005D1F72">
        <w:rPr>
          <w:sz w:val="24"/>
        </w:rPr>
        <w:tab/>
      </w:r>
    </w:p>
    <w:p w14:paraId="010E40DB" w14:textId="77777777" w:rsidR="005D1F72" w:rsidRPr="005D1F72" w:rsidRDefault="005D1F72" w:rsidP="005D1F72">
      <w:pPr>
        <w:widowControl/>
        <w:autoSpaceDE/>
        <w:autoSpaceDN/>
        <w:adjustRightInd/>
        <w:rPr>
          <w:b/>
          <w:sz w:val="24"/>
        </w:rPr>
      </w:pPr>
      <w:r w:rsidRPr="005D1F72">
        <w:rPr>
          <w:sz w:val="24"/>
        </w:rPr>
        <w:tab/>
      </w:r>
      <w:r w:rsidRPr="005D1F72">
        <w:rPr>
          <w:sz w:val="24"/>
        </w:rPr>
        <w:tab/>
      </w:r>
      <w:r w:rsidRPr="005D1F72">
        <w:rPr>
          <w:sz w:val="24"/>
        </w:rPr>
        <w:tab/>
      </w:r>
      <w:r w:rsidRPr="005D1F72">
        <w:rPr>
          <w:sz w:val="24"/>
        </w:rPr>
        <w:tab/>
      </w:r>
      <w:r w:rsidRPr="005D1F72">
        <w:rPr>
          <w:sz w:val="24"/>
        </w:rPr>
        <w:tab/>
      </w:r>
      <w:r w:rsidRPr="005D1F72">
        <w:rPr>
          <w:sz w:val="24"/>
        </w:rPr>
        <w:tab/>
      </w:r>
      <w:r w:rsidRPr="005D1F72">
        <w:rPr>
          <w:sz w:val="24"/>
        </w:rPr>
        <w:tab/>
      </w:r>
      <w:r w:rsidRPr="005D1F72">
        <w:rPr>
          <w:sz w:val="24"/>
        </w:rPr>
        <w:tab/>
      </w:r>
      <w:r w:rsidRPr="005D1F72">
        <w:rPr>
          <w:sz w:val="24"/>
          <w:highlight w:val="yellow"/>
        </w:rPr>
        <w:t>[ATTORNEY NAME]</w:t>
      </w:r>
    </w:p>
    <w:p w14:paraId="1ADAC004" w14:textId="77777777" w:rsidR="005D1F72" w:rsidRPr="005D1F72" w:rsidRDefault="005D1F72" w:rsidP="005D1F72">
      <w:pPr>
        <w:widowControl/>
        <w:autoSpaceDE/>
        <w:autoSpaceDN/>
        <w:adjustRightInd/>
        <w:rPr>
          <w:b/>
          <w:sz w:val="24"/>
        </w:rPr>
      </w:pPr>
    </w:p>
    <w:p w14:paraId="5505249B" w14:textId="77777777" w:rsidR="005D1F72" w:rsidRPr="005D1F72" w:rsidRDefault="005D1F72" w:rsidP="005D1F72">
      <w:pPr>
        <w:widowControl/>
        <w:autoSpaceDE/>
        <w:autoSpaceDN/>
        <w:adjustRightInd/>
        <w:rPr>
          <w:b/>
          <w:sz w:val="24"/>
        </w:rPr>
      </w:pPr>
    </w:p>
    <w:p w14:paraId="468A7DA1" w14:textId="77777777" w:rsidR="0019654F" w:rsidRPr="00B45B9D" w:rsidRDefault="00BC6779" w:rsidP="001D3814">
      <w:pPr>
        <w:jc w:val="center"/>
        <w:rPr>
          <w:b/>
          <w:sz w:val="24"/>
        </w:rPr>
      </w:pPr>
      <w:r w:rsidRPr="00B45B9D">
        <w:rPr>
          <w:b/>
          <w:sz w:val="24"/>
        </w:rPr>
        <w:br w:type="page"/>
      </w:r>
    </w:p>
    <w:p w14:paraId="2B6E716D" w14:textId="77777777" w:rsidR="00F92D38" w:rsidRPr="00FA54B8" w:rsidRDefault="00F92D38" w:rsidP="00E22D1C">
      <w:pPr>
        <w:widowControl/>
        <w:autoSpaceDE/>
        <w:autoSpaceDN/>
        <w:adjustRightInd/>
        <w:jc w:val="center"/>
        <w:rPr>
          <w:rFonts w:eastAsia="Calibri"/>
          <w:bCs/>
          <w:smallCaps/>
          <w:sz w:val="24"/>
        </w:rPr>
      </w:pPr>
      <w:r w:rsidRPr="00FA54B8">
        <w:rPr>
          <w:rFonts w:eastAsia="Calibri"/>
          <w:bCs/>
          <w:smallCaps/>
          <w:sz w:val="24"/>
        </w:rPr>
        <w:lastRenderedPageBreak/>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r>
      <w:r w:rsidRPr="00FA54B8">
        <w:rPr>
          <w:rFonts w:eastAsia="Calibri"/>
          <w:bCs/>
          <w:smallCaps/>
          <w:sz w:val="24"/>
        </w:rPr>
        <w:tab/>
        <w:t>(</w:t>
      </w:r>
      <w:r w:rsidRPr="00FA54B8">
        <w:rPr>
          <w:rFonts w:eastAsia="Calibri"/>
          <w:bCs/>
          <w:smallCaps/>
          <w:sz w:val="24"/>
          <w:highlight w:val="yellow"/>
        </w:rPr>
        <w:t>#</w:t>
      </w:r>
      <w:r w:rsidRPr="00FA54B8">
        <w:rPr>
          <w:rFonts w:eastAsia="Calibri"/>
          <w:bCs/>
          <w:smallCaps/>
          <w:sz w:val="24"/>
        </w:rPr>
        <w:t>)</w:t>
      </w:r>
    </w:p>
    <w:p w14:paraId="47021B9E" w14:textId="77777777" w:rsidR="00F92D38" w:rsidRPr="00FA54B8" w:rsidRDefault="00F92D38" w:rsidP="00E22D1C">
      <w:pPr>
        <w:widowControl/>
        <w:autoSpaceDE/>
        <w:autoSpaceDN/>
        <w:adjustRightInd/>
        <w:jc w:val="center"/>
        <w:rPr>
          <w:rFonts w:eastAsia="Calibri"/>
          <w:bCs/>
          <w:smallCaps/>
          <w:sz w:val="24"/>
        </w:rPr>
      </w:pPr>
      <w:r w:rsidRPr="00FA54B8">
        <w:rPr>
          <w:rFonts w:eastAsia="Calibri"/>
          <w:bCs/>
          <w:smallCaps/>
          <w:sz w:val="24"/>
        </w:rPr>
        <w:t xml:space="preserve">In The </w:t>
      </w:r>
      <w:r w:rsidRPr="00FA54B8">
        <w:rPr>
          <w:rFonts w:eastAsia="Calibri"/>
          <w:bCs/>
          <w:smallCaps/>
          <w:sz w:val="24"/>
          <w:highlight w:val="yellow"/>
        </w:rPr>
        <w:t>XXX</w:t>
      </w:r>
      <w:r w:rsidRPr="00FA54B8">
        <w:rPr>
          <w:rFonts w:eastAsia="Calibri"/>
          <w:bCs/>
          <w:smallCaps/>
          <w:sz w:val="24"/>
        </w:rPr>
        <w:t xml:space="preserve"> District Court</w:t>
      </w:r>
    </w:p>
    <w:p w14:paraId="36EA5F01" w14:textId="77777777" w:rsidR="00F92D38" w:rsidRPr="00FA54B8" w:rsidRDefault="00F92D38" w:rsidP="00E22D1C">
      <w:pPr>
        <w:widowControl/>
        <w:autoSpaceDE/>
        <w:autoSpaceDN/>
        <w:adjustRightInd/>
        <w:jc w:val="center"/>
        <w:rPr>
          <w:rFonts w:eastAsia="Calibri"/>
          <w:smallCaps/>
          <w:sz w:val="24"/>
        </w:rPr>
      </w:pPr>
      <w:r w:rsidRPr="00FA54B8">
        <w:rPr>
          <w:rFonts w:eastAsia="Calibri"/>
          <w:bCs/>
          <w:smallCaps/>
          <w:sz w:val="24"/>
        </w:rPr>
        <w:t xml:space="preserve">Parish Of </w:t>
      </w:r>
      <w:r w:rsidRPr="00FA54B8">
        <w:rPr>
          <w:rFonts w:eastAsia="Calibri"/>
          <w:bCs/>
          <w:smallCaps/>
          <w:sz w:val="24"/>
          <w:highlight w:val="yellow"/>
        </w:rPr>
        <w:t>XXX</w:t>
      </w:r>
      <w:r w:rsidRPr="00FA54B8">
        <w:rPr>
          <w:rFonts w:eastAsia="Calibri"/>
          <w:bCs/>
          <w:smallCaps/>
          <w:sz w:val="24"/>
        </w:rPr>
        <w:t>, State Of Louisiana</w:t>
      </w:r>
    </w:p>
    <w:p w14:paraId="584B84B3" w14:textId="77777777" w:rsidR="00F92D38" w:rsidRPr="00FA54B8" w:rsidRDefault="00F92D38" w:rsidP="00E22D1C">
      <w:pPr>
        <w:widowControl/>
        <w:autoSpaceDE/>
        <w:autoSpaceDN/>
        <w:adjustRightInd/>
        <w:jc w:val="center"/>
        <w:rPr>
          <w:rFonts w:eastAsia="Calibri"/>
          <w:sz w:val="24"/>
        </w:rPr>
      </w:pPr>
    </w:p>
    <w:tbl>
      <w:tblPr>
        <w:tblW w:w="0" w:type="auto"/>
        <w:tblLayout w:type="fixed"/>
        <w:tblCellMar>
          <w:left w:w="0" w:type="dxa"/>
          <w:right w:w="0" w:type="dxa"/>
        </w:tblCellMar>
        <w:tblLook w:val="0000" w:firstRow="0" w:lastRow="0" w:firstColumn="0" w:lastColumn="0" w:noHBand="0" w:noVBand="0"/>
      </w:tblPr>
      <w:tblGrid>
        <w:gridCol w:w="4230"/>
        <w:gridCol w:w="540"/>
        <w:gridCol w:w="4590"/>
      </w:tblGrid>
      <w:tr w:rsidR="00F92D38" w:rsidRPr="00FA54B8" w14:paraId="1DD2FE7F" w14:textId="77777777" w:rsidTr="00E22D1C">
        <w:trPr>
          <w:cantSplit/>
        </w:trPr>
        <w:tc>
          <w:tcPr>
            <w:tcW w:w="4230" w:type="dxa"/>
            <w:tcBorders>
              <w:top w:val="single" w:sz="6" w:space="0" w:color="000000"/>
              <w:left w:val="nil"/>
              <w:bottom w:val="single" w:sz="4" w:space="0" w:color="auto"/>
              <w:right w:val="single" w:sz="4" w:space="0" w:color="auto"/>
            </w:tcBorders>
          </w:tcPr>
          <w:p w14:paraId="642EB0F9" w14:textId="77777777" w:rsidR="00F92D38" w:rsidRPr="00FA54B8" w:rsidRDefault="00F92D38" w:rsidP="00E22D1C">
            <w:pPr>
              <w:widowControl/>
              <w:autoSpaceDE/>
              <w:autoSpaceDN/>
              <w:adjustRightInd/>
              <w:rPr>
                <w:rFonts w:eastAsia="Calibri"/>
                <w:sz w:val="24"/>
              </w:rPr>
            </w:pPr>
          </w:p>
          <w:p w14:paraId="6E483A83" w14:textId="77777777" w:rsidR="00F92D38" w:rsidRPr="00FA54B8" w:rsidRDefault="00F92D38" w:rsidP="00E22D1C">
            <w:pPr>
              <w:widowControl/>
              <w:autoSpaceDE/>
              <w:autoSpaceDN/>
              <w:adjustRightInd/>
              <w:rPr>
                <w:rFonts w:eastAsia="Calibri"/>
                <w:sz w:val="24"/>
              </w:rPr>
            </w:pPr>
            <w:r w:rsidRPr="00FA54B8">
              <w:rPr>
                <w:rFonts w:eastAsia="Calibri"/>
                <w:sz w:val="24"/>
              </w:rPr>
              <w:t>STATE OF LOUISIANA,</w:t>
            </w:r>
          </w:p>
          <w:p w14:paraId="63F9AFAB" w14:textId="77777777" w:rsidR="00F92D38" w:rsidRPr="00FA54B8" w:rsidRDefault="00F92D38" w:rsidP="00E22D1C">
            <w:pPr>
              <w:widowControl/>
              <w:autoSpaceDE/>
              <w:autoSpaceDN/>
              <w:adjustRightInd/>
              <w:rPr>
                <w:rFonts w:eastAsia="Calibri"/>
                <w:sz w:val="24"/>
              </w:rPr>
            </w:pPr>
            <w:r w:rsidRPr="00FA54B8">
              <w:rPr>
                <w:rFonts w:eastAsia="Calibri"/>
                <w:sz w:val="24"/>
              </w:rPr>
              <w:tab/>
            </w:r>
            <w:r w:rsidRPr="00FA54B8">
              <w:rPr>
                <w:rFonts w:eastAsia="Calibri"/>
                <w:sz w:val="24"/>
              </w:rPr>
              <w:tab/>
            </w:r>
            <w:r w:rsidRPr="00FA54B8">
              <w:rPr>
                <w:rFonts w:eastAsia="Calibri"/>
                <w:sz w:val="24"/>
              </w:rPr>
              <w:tab/>
            </w:r>
            <w:r w:rsidRPr="00FA54B8">
              <w:rPr>
                <w:rFonts w:eastAsia="Calibri"/>
                <w:i/>
                <w:sz w:val="24"/>
              </w:rPr>
              <w:t>Plaintiff</w:t>
            </w:r>
            <w:r w:rsidRPr="00FA54B8">
              <w:rPr>
                <w:rFonts w:eastAsia="Calibri"/>
                <w:sz w:val="24"/>
              </w:rPr>
              <w:t>,</w:t>
            </w:r>
          </w:p>
          <w:p w14:paraId="7CD52B87" w14:textId="77777777" w:rsidR="00F92D38" w:rsidRPr="00FA54B8" w:rsidRDefault="00F92D38" w:rsidP="00E22D1C">
            <w:pPr>
              <w:widowControl/>
              <w:autoSpaceDE/>
              <w:autoSpaceDN/>
              <w:adjustRightInd/>
              <w:rPr>
                <w:rFonts w:eastAsia="Calibri"/>
                <w:sz w:val="24"/>
              </w:rPr>
            </w:pPr>
          </w:p>
          <w:p w14:paraId="18F3D647" w14:textId="77777777" w:rsidR="00F92D38" w:rsidRPr="00FA54B8" w:rsidRDefault="00F92D38" w:rsidP="00E22D1C">
            <w:pPr>
              <w:widowControl/>
              <w:autoSpaceDE/>
              <w:autoSpaceDN/>
              <w:adjustRightInd/>
              <w:rPr>
                <w:rFonts w:eastAsia="Calibri"/>
                <w:sz w:val="24"/>
              </w:rPr>
            </w:pPr>
            <w:r w:rsidRPr="00FA54B8">
              <w:rPr>
                <w:rFonts w:eastAsia="Calibri"/>
                <w:sz w:val="24"/>
              </w:rPr>
              <w:tab/>
              <w:t>v.</w:t>
            </w:r>
          </w:p>
          <w:p w14:paraId="5D701B90" w14:textId="77777777" w:rsidR="00F92D38" w:rsidRPr="00FA54B8" w:rsidRDefault="00F92D38" w:rsidP="00E22D1C">
            <w:pPr>
              <w:widowControl/>
              <w:autoSpaceDE/>
              <w:autoSpaceDN/>
              <w:adjustRightInd/>
              <w:rPr>
                <w:rFonts w:eastAsia="Calibri"/>
                <w:sz w:val="24"/>
              </w:rPr>
            </w:pPr>
          </w:p>
          <w:p w14:paraId="30DE3EE0" w14:textId="77777777" w:rsidR="00F92D38" w:rsidRPr="00FA54B8" w:rsidRDefault="00F92D38" w:rsidP="00E22D1C">
            <w:pPr>
              <w:widowControl/>
              <w:autoSpaceDE/>
              <w:autoSpaceDN/>
              <w:adjustRightInd/>
              <w:rPr>
                <w:rFonts w:eastAsia="Calibri"/>
                <w:sz w:val="24"/>
              </w:rPr>
            </w:pPr>
            <w:r w:rsidRPr="00FA54B8">
              <w:rPr>
                <w:rFonts w:eastAsia="Calibri"/>
                <w:sz w:val="24"/>
                <w:highlight w:val="yellow"/>
              </w:rPr>
              <w:t>XXX</w:t>
            </w:r>
            <w:r w:rsidRPr="00FA54B8">
              <w:rPr>
                <w:rFonts w:eastAsia="Calibri"/>
                <w:sz w:val="24"/>
              </w:rPr>
              <w:t xml:space="preserve"> </w:t>
            </w:r>
            <w:r w:rsidRPr="00FA54B8">
              <w:rPr>
                <w:rFonts w:eastAsia="Calibri"/>
                <w:sz w:val="24"/>
                <w:highlight w:val="yellow"/>
              </w:rPr>
              <w:t>XXXX</w:t>
            </w:r>
          </w:p>
          <w:p w14:paraId="591EEFDD" w14:textId="77777777" w:rsidR="00F92D38" w:rsidRPr="00FA54B8" w:rsidRDefault="00F92D38" w:rsidP="00E22D1C">
            <w:pPr>
              <w:widowControl/>
              <w:autoSpaceDE/>
              <w:autoSpaceDN/>
              <w:adjustRightInd/>
              <w:rPr>
                <w:rFonts w:eastAsia="Calibri"/>
                <w:sz w:val="24"/>
              </w:rPr>
            </w:pPr>
            <w:r w:rsidRPr="00FA54B8">
              <w:rPr>
                <w:rFonts w:eastAsia="Calibri"/>
                <w:sz w:val="24"/>
              </w:rPr>
              <w:tab/>
            </w:r>
            <w:r w:rsidRPr="00FA54B8">
              <w:rPr>
                <w:rFonts w:eastAsia="Calibri"/>
                <w:sz w:val="24"/>
              </w:rPr>
              <w:tab/>
            </w:r>
            <w:r w:rsidRPr="00FA54B8">
              <w:rPr>
                <w:rFonts w:eastAsia="Calibri"/>
                <w:sz w:val="24"/>
              </w:rPr>
              <w:tab/>
            </w:r>
            <w:r w:rsidRPr="00FA54B8">
              <w:rPr>
                <w:rFonts w:eastAsia="Calibri"/>
                <w:i/>
                <w:sz w:val="24"/>
              </w:rPr>
              <w:t>Defendant</w:t>
            </w:r>
            <w:r w:rsidRPr="00FA54B8">
              <w:rPr>
                <w:rFonts w:eastAsia="Calibri"/>
                <w:sz w:val="24"/>
              </w:rPr>
              <w:t>.</w:t>
            </w:r>
          </w:p>
        </w:tc>
        <w:tc>
          <w:tcPr>
            <w:tcW w:w="540" w:type="dxa"/>
            <w:tcBorders>
              <w:top w:val="nil"/>
              <w:left w:val="single" w:sz="4" w:space="0" w:color="auto"/>
              <w:right w:val="nil"/>
            </w:tcBorders>
          </w:tcPr>
          <w:p w14:paraId="12E4DEFC" w14:textId="77777777" w:rsidR="00F92D38" w:rsidRPr="00FA54B8" w:rsidRDefault="00F92D38" w:rsidP="00E22D1C">
            <w:pPr>
              <w:widowControl/>
              <w:autoSpaceDE/>
              <w:autoSpaceDN/>
              <w:adjustRightInd/>
              <w:rPr>
                <w:rFonts w:eastAsia="Calibri"/>
                <w:sz w:val="24"/>
              </w:rPr>
            </w:pPr>
          </w:p>
          <w:p w14:paraId="714B1A06" w14:textId="77777777" w:rsidR="00F92D38" w:rsidRPr="00FA54B8" w:rsidRDefault="00F92D38" w:rsidP="00E22D1C">
            <w:pPr>
              <w:widowControl/>
              <w:autoSpaceDE/>
              <w:autoSpaceDN/>
              <w:adjustRightInd/>
              <w:rPr>
                <w:rFonts w:eastAsia="Calibri"/>
                <w:sz w:val="24"/>
              </w:rPr>
            </w:pPr>
          </w:p>
          <w:p w14:paraId="69324606" w14:textId="77777777" w:rsidR="00F92D38" w:rsidRPr="00FA54B8" w:rsidRDefault="00F92D38" w:rsidP="00E22D1C">
            <w:pPr>
              <w:widowControl/>
              <w:autoSpaceDE/>
              <w:autoSpaceDN/>
              <w:adjustRightInd/>
              <w:rPr>
                <w:rFonts w:eastAsia="Calibri"/>
                <w:sz w:val="24"/>
              </w:rPr>
            </w:pPr>
          </w:p>
          <w:p w14:paraId="48B5391C" w14:textId="77777777" w:rsidR="00F92D38" w:rsidRPr="00FA54B8" w:rsidRDefault="00F92D38" w:rsidP="00E22D1C">
            <w:pPr>
              <w:widowControl/>
              <w:autoSpaceDE/>
              <w:autoSpaceDN/>
              <w:adjustRightInd/>
              <w:rPr>
                <w:rFonts w:eastAsia="Calibri"/>
                <w:sz w:val="24"/>
              </w:rPr>
            </w:pPr>
          </w:p>
          <w:p w14:paraId="6B5CB458" w14:textId="77777777" w:rsidR="00F92D38" w:rsidRPr="00FA54B8" w:rsidRDefault="00F92D38" w:rsidP="00E22D1C">
            <w:pPr>
              <w:widowControl/>
              <w:autoSpaceDE/>
              <w:autoSpaceDN/>
              <w:adjustRightInd/>
              <w:rPr>
                <w:rFonts w:eastAsia="Calibri"/>
                <w:sz w:val="24"/>
              </w:rPr>
            </w:pPr>
          </w:p>
          <w:p w14:paraId="5E7F979E" w14:textId="77777777" w:rsidR="00F92D38" w:rsidRPr="00FA54B8" w:rsidRDefault="00F92D38" w:rsidP="00E22D1C">
            <w:pPr>
              <w:widowControl/>
              <w:autoSpaceDE/>
              <w:autoSpaceDN/>
              <w:adjustRightInd/>
              <w:rPr>
                <w:rFonts w:eastAsia="Calibri"/>
                <w:sz w:val="24"/>
              </w:rPr>
            </w:pPr>
          </w:p>
          <w:p w14:paraId="5FE867C8" w14:textId="77777777" w:rsidR="00F92D38" w:rsidRPr="00FA54B8" w:rsidRDefault="00F92D38" w:rsidP="00E22D1C">
            <w:pPr>
              <w:widowControl/>
              <w:autoSpaceDE/>
              <w:autoSpaceDN/>
              <w:adjustRightInd/>
              <w:rPr>
                <w:rFonts w:eastAsia="Calibri"/>
                <w:sz w:val="24"/>
              </w:rPr>
            </w:pPr>
          </w:p>
          <w:p w14:paraId="71E24642" w14:textId="77777777" w:rsidR="00F92D38" w:rsidRPr="00FA54B8" w:rsidRDefault="00F92D38" w:rsidP="00E22D1C">
            <w:pPr>
              <w:widowControl/>
              <w:autoSpaceDE/>
              <w:autoSpaceDN/>
              <w:adjustRightInd/>
              <w:rPr>
                <w:rFonts w:eastAsia="Calibri"/>
                <w:sz w:val="24"/>
              </w:rPr>
            </w:pPr>
          </w:p>
          <w:p w14:paraId="10AE53AE" w14:textId="77777777" w:rsidR="00F92D38" w:rsidRPr="00FA54B8" w:rsidRDefault="00F92D38" w:rsidP="00E22D1C">
            <w:pPr>
              <w:widowControl/>
              <w:autoSpaceDE/>
              <w:autoSpaceDN/>
              <w:adjustRightInd/>
              <w:rPr>
                <w:rFonts w:eastAsia="Calibri"/>
                <w:sz w:val="24"/>
              </w:rPr>
            </w:pPr>
          </w:p>
        </w:tc>
        <w:tc>
          <w:tcPr>
            <w:tcW w:w="4590" w:type="dxa"/>
            <w:tcBorders>
              <w:top w:val="nil"/>
              <w:left w:val="nil"/>
              <w:right w:val="nil"/>
            </w:tcBorders>
          </w:tcPr>
          <w:p w14:paraId="0ACCFDE0" w14:textId="77777777" w:rsidR="00F92D38" w:rsidRPr="00FA54B8" w:rsidRDefault="00F92D38" w:rsidP="00E22D1C">
            <w:pPr>
              <w:widowControl/>
              <w:autoSpaceDE/>
              <w:autoSpaceDN/>
              <w:adjustRightInd/>
              <w:rPr>
                <w:rFonts w:eastAsia="Calibri"/>
                <w:sz w:val="24"/>
              </w:rPr>
            </w:pPr>
          </w:p>
          <w:p w14:paraId="75342EAC" w14:textId="77777777" w:rsidR="00F92D38" w:rsidRPr="00FA54B8" w:rsidRDefault="00F92D38" w:rsidP="00E22D1C">
            <w:pPr>
              <w:widowControl/>
              <w:autoSpaceDE/>
              <w:autoSpaceDN/>
              <w:adjustRightInd/>
              <w:rPr>
                <w:rFonts w:eastAsia="Calibri"/>
                <w:sz w:val="24"/>
              </w:rPr>
            </w:pPr>
          </w:p>
          <w:p w14:paraId="6DEF7471" w14:textId="77777777" w:rsidR="00F92D38" w:rsidRPr="00FA54B8" w:rsidRDefault="00F92D38" w:rsidP="00E22D1C">
            <w:pPr>
              <w:widowControl/>
              <w:autoSpaceDE/>
              <w:autoSpaceDN/>
              <w:adjustRightInd/>
              <w:ind w:left="630"/>
              <w:rPr>
                <w:rFonts w:eastAsia="Calibri"/>
                <w:sz w:val="24"/>
              </w:rPr>
            </w:pPr>
            <w:r w:rsidRPr="00FA54B8">
              <w:rPr>
                <w:rFonts w:eastAsia="Calibri"/>
                <w:sz w:val="24"/>
              </w:rPr>
              <w:t xml:space="preserve">No. </w:t>
            </w:r>
            <w:r w:rsidRPr="00FA54B8">
              <w:rPr>
                <w:rFonts w:eastAsia="Calibri"/>
                <w:sz w:val="24"/>
                <w:highlight w:val="yellow"/>
              </w:rPr>
              <w:t>XXXXX</w:t>
            </w:r>
          </w:p>
          <w:p w14:paraId="16530BEA" w14:textId="77777777" w:rsidR="00F92D38" w:rsidRPr="00FA54B8" w:rsidRDefault="00F92D38" w:rsidP="00E22D1C">
            <w:pPr>
              <w:widowControl/>
              <w:autoSpaceDE/>
              <w:autoSpaceDN/>
              <w:adjustRightInd/>
              <w:ind w:left="630"/>
              <w:rPr>
                <w:rFonts w:eastAsia="Calibri"/>
                <w:sz w:val="24"/>
              </w:rPr>
            </w:pPr>
            <w:r w:rsidRPr="00FA54B8">
              <w:rPr>
                <w:rFonts w:eastAsia="Calibri"/>
                <w:sz w:val="24"/>
              </w:rPr>
              <w:t xml:space="preserve">Section </w:t>
            </w:r>
            <w:r w:rsidRPr="00FA54B8">
              <w:rPr>
                <w:rFonts w:eastAsia="Calibri"/>
                <w:sz w:val="24"/>
                <w:highlight w:val="yellow"/>
              </w:rPr>
              <w:t>XX</w:t>
            </w:r>
          </w:p>
          <w:p w14:paraId="0AFCC30A" w14:textId="77777777" w:rsidR="00F92D38" w:rsidRPr="00FA54B8" w:rsidRDefault="00F92D38" w:rsidP="00E22D1C">
            <w:pPr>
              <w:widowControl/>
              <w:autoSpaceDE/>
              <w:autoSpaceDN/>
              <w:adjustRightInd/>
              <w:ind w:left="630"/>
              <w:rPr>
                <w:rFonts w:eastAsia="Calibri"/>
                <w:sz w:val="24"/>
              </w:rPr>
            </w:pPr>
            <w:r w:rsidRPr="00FA54B8">
              <w:rPr>
                <w:rFonts w:eastAsia="Calibri"/>
                <w:sz w:val="24"/>
              </w:rPr>
              <w:t>Hon. XXX</w:t>
            </w:r>
          </w:p>
        </w:tc>
      </w:tr>
    </w:tbl>
    <w:p w14:paraId="427A19E4" w14:textId="77777777" w:rsidR="00F92D38" w:rsidRPr="00FA54B8" w:rsidRDefault="00F92D38" w:rsidP="00E22D1C">
      <w:pPr>
        <w:widowControl/>
        <w:autoSpaceDE/>
        <w:autoSpaceDN/>
        <w:adjustRightInd/>
        <w:rPr>
          <w:rFonts w:eastAsia="Calibri"/>
          <w:b/>
          <w:bCs/>
          <w:sz w:val="24"/>
        </w:rPr>
      </w:pPr>
    </w:p>
    <w:tbl>
      <w:tblPr>
        <w:tblW w:w="0" w:type="auto"/>
        <w:tblLayout w:type="fixed"/>
        <w:tblCellMar>
          <w:left w:w="0" w:type="dxa"/>
          <w:right w:w="0" w:type="dxa"/>
        </w:tblCellMar>
        <w:tblLook w:val="0000" w:firstRow="0" w:lastRow="0" w:firstColumn="0" w:lastColumn="0" w:noHBand="0" w:noVBand="0"/>
      </w:tblPr>
      <w:tblGrid>
        <w:gridCol w:w="4230"/>
        <w:gridCol w:w="540"/>
        <w:gridCol w:w="4590"/>
      </w:tblGrid>
      <w:tr w:rsidR="00F92D38" w:rsidRPr="00FA54B8" w14:paraId="18A16D0B" w14:textId="77777777" w:rsidTr="00E22D1C">
        <w:trPr>
          <w:cantSplit/>
        </w:trPr>
        <w:tc>
          <w:tcPr>
            <w:tcW w:w="4230" w:type="dxa"/>
            <w:tcBorders>
              <w:bottom w:val="single" w:sz="4" w:space="0" w:color="auto"/>
            </w:tcBorders>
          </w:tcPr>
          <w:p w14:paraId="61400BCE" w14:textId="77777777" w:rsidR="00F92D38" w:rsidRPr="00FA54B8" w:rsidRDefault="00F92D38" w:rsidP="00E22D1C">
            <w:pPr>
              <w:widowControl/>
              <w:autoSpaceDE/>
              <w:autoSpaceDN/>
              <w:adjustRightInd/>
              <w:rPr>
                <w:rFonts w:eastAsia="Calibri"/>
                <w:sz w:val="24"/>
              </w:rPr>
            </w:pPr>
          </w:p>
          <w:p w14:paraId="7111BEB7" w14:textId="77777777" w:rsidR="00F92D38" w:rsidRPr="00FA54B8" w:rsidRDefault="00F92D38" w:rsidP="00E22D1C">
            <w:pPr>
              <w:widowControl/>
              <w:autoSpaceDE/>
              <w:autoSpaceDN/>
              <w:adjustRightInd/>
              <w:rPr>
                <w:rFonts w:eastAsia="Calibri"/>
                <w:sz w:val="24"/>
              </w:rPr>
            </w:pPr>
          </w:p>
        </w:tc>
        <w:tc>
          <w:tcPr>
            <w:tcW w:w="540" w:type="dxa"/>
          </w:tcPr>
          <w:p w14:paraId="50CE6D5D" w14:textId="77777777" w:rsidR="00F92D38" w:rsidRPr="00FA54B8" w:rsidRDefault="00F92D38" w:rsidP="00E22D1C">
            <w:pPr>
              <w:widowControl/>
              <w:autoSpaceDE/>
              <w:autoSpaceDN/>
              <w:adjustRightInd/>
              <w:rPr>
                <w:rFonts w:eastAsia="Calibri"/>
                <w:sz w:val="24"/>
              </w:rPr>
            </w:pPr>
          </w:p>
        </w:tc>
        <w:tc>
          <w:tcPr>
            <w:tcW w:w="4590" w:type="dxa"/>
            <w:tcBorders>
              <w:bottom w:val="single" w:sz="4" w:space="0" w:color="auto"/>
            </w:tcBorders>
          </w:tcPr>
          <w:p w14:paraId="1A465E6E" w14:textId="77777777" w:rsidR="00F92D38" w:rsidRPr="00FA54B8" w:rsidRDefault="00F92D38" w:rsidP="00E22D1C">
            <w:pPr>
              <w:widowControl/>
              <w:autoSpaceDE/>
              <w:autoSpaceDN/>
              <w:adjustRightInd/>
              <w:rPr>
                <w:rFonts w:eastAsia="Calibri"/>
                <w:sz w:val="24"/>
              </w:rPr>
            </w:pPr>
          </w:p>
        </w:tc>
      </w:tr>
      <w:tr w:rsidR="00F92D38" w:rsidRPr="00FA54B8" w14:paraId="3354205F" w14:textId="77777777" w:rsidTr="00E22D1C">
        <w:trPr>
          <w:cantSplit/>
        </w:trPr>
        <w:tc>
          <w:tcPr>
            <w:tcW w:w="4230" w:type="dxa"/>
            <w:tcBorders>
              <w:top w:val="single" w:sz="4" w:space="0" w:color="auto"/>
            </w:tcBorders>
          </w:tcPr>
          <w:p w14:paraId="03E0F2A0" w14:textId="77777777" w:rsidR="00F92D38" w:rsidRPr="00FA54B8" w:rsidRDefault="00F92D38" w:rsidP="00E22D1C">
            <w:pPr>
              <w:widowControl/>
              <w:autoSpaceDE/>
              <w:autoSpaceDN/>
              <w:adjustRightInd/>
              <w:rPr>
                <w:rFonts w:eastAsia="Calibri"/>
                <w:sz w:val="24"/>
              </w:rPr>
            </w:pPr>
            <w:r w:rsidRPr="00FA54B8">
              <w:rPr>
                <w:rFonts w:eastAsia="Calibri"/>
                <w:sz w:val="24"/>
              </w:rPr>
              <w:t>FILED</w:t>
            </w:r>
          </w:p>
        </w:tc>
        <w:tc>
          <w:tcPr>
            <w:tcW w:w="540" w:type="dxa"/>
          </w:tcPr>
          <w:p w14:paraId="67C89D5E" w14:textId="77777777" w:rsidR="00F92D38" w:rsidRPr="00FA54B8" w:rsidRDefault="00F92D38" w:rsidP="00E22D1C">
            <w:pPr>
              <w:widowControl/>
              <w:autoSpaceDE/>
              <w:autoSpaceDN/>
              <w:adjustRightInd/>
              <w:rPr>
                <w:rFonts w:eastAsia="Calibri"/>
                <w:sz w:val="24"/>
              </w:rPr>
            </w:pPr>
          </w:p>
        </w:tc>
        <w:tc>
          <w:tcPr>
            <w:tcW w:w="4590" w:type="dxa"/>
            <w:tcBorders>
              <w:top w:val="single" w:sz="4" w:space="0" w:color="auto"/>
            </w:tcBorders>
          </w:tcPr>
          <w:p w14:paraId="164A16A9" w14:textId="77777777" w:rsidR="00F92D38" w:rsidRPr="00FA54B8" w:rsidRDefault="00F92D38" w:rsidP="00E22D1C">
            <w:pPr>
              <w:widowControl/>
              <w:autoSpaceDE/>
              <w:autoSpaceDN/>
              <w:adjustRightInd/>
              <w:rPr>
                <w:rFonts w:eastAsia="Calibri"/>
                <w:sz w:val="24"/>
              </w:rPr>
            </w:pPr>
            <w:r w:rsidRPr="00FA54B8">
              <w:rPr>
                <w:rFonts w:eastAsia="Calibri"/>
                <w:sz w:val="24"/>
              </w:rPr>
              <w:t>DEPUTY CLERK OF COURT</w:t>
            </w:r>
          </w:p>
        </w:tc>
      </w:tr>
    </w:tbl>
    <w:p w14:paraId="3D6AA139" w14:textId="77777777" w:rsidR="00F92D38" w:rsidRPr="00B45B9D" w:rsidRDefault="00F92D38" w:rsidP="00E22D1C"/>
    <w:p w14:paraId="756CC278" w14:textId="3624E613" w:rsidR="001D3814" w:rsidRPr="00B45B9D" w:rsidRDefault="001D3814" w:rsidP="001D3814">
      <w:pPr>
        <w:jc w:val="center"/>
        <w:rPr>
          <w:sz w:val="24"/>
          <w:lang w:eastAsia="ja-JP"/>
        </w:rPr>
      </w:pPr>
    </w:p>
    <w:p w14:paraId="409B314E" w14:textId="77777777" w:rsidR="00296F40" w:rsidRPr="00B45B9D" w:rsidRDefault="00296F40" w:rsidP="001D3814">
      <w:pPr>
        <w:jc w:val="center"/>
        <w:rPr>
          <w:sz w:val="24"/>
          <w:lang w:eastAsia="ja-JP"/>
        </w:rPr>
      </w:pPr>
    </w:p>
    <w:p w14:paraId="6C8DFA86" w14:textId="77777777" w:rsidR="001D3814" w:rsidRPr="00B45B9D" w:rsidRDefault="001D3814" w:rsidP="001D3814">
      <w:pPr>
        <w:jc w:val="center"/>
        <w:rPr>
          <w:sz w:val="24"/>
          <w:lang w:eastAsia="ja-JP"/>
        </w:rPr>
      </w:pPr>
    </w:p>
    <w:p w14:paraId="7D046F27" w14:textId="24975AF4" w:rsidR="00BC6779" w:rsidRPr="00B45B9D" w:rsidRDefault="00BC6779" w:rsidP="001D3814">
      <w:pPr>
        <w:jc w:val="center"/>
        <w:rPr>
          <w:b/>
          <w:sz w:val="24"/>
        </w:rPr>
      </w:pPr>
      <w:r w:rsidRPr="00B45B9D">
        <w:rPr>
          <w:b/>
          <w:sz w:val="24"/>
        </w:rPr>
        <w:t>ORDER</w:t>
      </w:r>
    </w:p>
    <w:p w14:paraId="2E292F45" w14:textId="77777777" w:rsidR="00BC6779" w:rsidRPr="00B45B9D" w:rsidRDefault="00BC6779" w:rsidP="00BC6779">
      <w:pPr>
        <w:rPr>
          <w:b/>
          <w:sz w:val="24"/>
        </w:rPr>
      </w:pPr>
    </w:p>
    <w:p w14:paraId="7D072688" w14:textId="18F30CC2" w:rsidR="003007AE" w:rsidRPr="00B45B9D" w:rsidRDefault="00BC6779" w:rsidP="006B476C">
      <w:pPr>
        <w:spacing w:line="480" w:lineRule="auto"/>
        <w:rPr>
          <w:sz w:val="24"/>
        </w:rPr>
      </w:pPr>
      <w:r w:rsidRPr="00B45B9D">
        <w:rPr>
          <w:b/>
          <w:sz w:val="24"/>
        </w:rPr>
        <w:tab/>
      </w:r>
      <w:r w:rsidR="006B476C" w:rsidRPr="00B45B9D">
        <w:rPr>
          <w:sz w:val="24"/>
        </w:rPr>
        <w:t xml:space="preserve">IT IS HEREBY ORDERED that </w:t>
      </w:r>
      <w:r w:rsidR="00F92D38">
        <w:rPr>
          <w:sz w:val="24"/>
          <w:lang w:val="en-CA"/>
        </w:rPr>
        <w:t>[</w:t>
      </w:r>
      <w:r w:rsidR="00F92D38" w:rsidRPr="000726DA">
        <w:rPr>
          <w:sz w:val="24"/>
          <w:highlight w:val="yellow"/>
          <w:lang w:val="en-CA"/>
        </w:rPr>
        <w:t>NAME OF CLIENT</w:t>
      </w:r>
      <w:r w:rsidR="00F92D38">
        <w:rPr>
          <w:sz w:val="24"/>
          <w:lang w:val="en-CA"/>
        </w:rPr>
        <w:t>]</w:t>
      </w:r>
      <w:r w:rsidR="001D3814" w:rsidRPr="00B45B9D">
        <w:rPr>
          <w:sz w:val="24"/>
        </w:rPr>
        <w:t>’s</w:t>
      </w:r>
      <w:r w:rsidRPr="00B45B9D">
        <w:rPr>
          <w:sz w:val="24"/>
        </w:rPr>
        <w:t xml:space="preserve"> Motion </w:t>
      </w:r>
      <w:r w:rsidR="006B476C" w:rsidRPr="00B45B9D">
        <w:rPr>
          <w:sz w:val="24"/>
        </w:rPr>
        <w:t xml:space="preserve">is GRANTED and </w:t>
      </w:r>
      <w:r w:rsidR="00E67316" w:rsidRPr="00B45B9D">
        <w:rPr>
          <w:sz w:val="24"/>
        </w:rPr>
        <w:t>an evidentiary h</w:t>
      </w:r>
      <w:r w:rsidR="00FA3374" w:rsidRPr="00B45B9D">
        <w:rPr>
          <w:sz w:val="24"/>
        </w:rPr>
        <w:t>earing is to be held on _______.</w:t>
      </w:r>
      <w:r w:rsidR="004A4BFB" w:rsidRPr="00B45B9D">
        <w:rPr>
          <w:sz w:val="24"/>
        </w:rPr>
        <w:t xml:space="preserve"> </w:t>
      </w:r>
    </w:p>
    <w:p w14:paraId="16491365" w14:textId="77777777" w:rsidR="00BC6779" w:rsidRPr="00B45B9D" w:rsidRDefault="00BC6779" w:rsidP="00BC6779">
      <w:pPr>
        <w:rPr>
          <w:sz w:val="24"/>
        </w:rPr>
      </w:pPr>
    </w:p>
    <w:p w14:paraId="71354AB2" w14:textId="77777777" w:rsidR="001D3814" w:rsidRPr="00B45B9D" w:rsidRDefault="00BC6779" w:rsidP="001D3814">
      <w:pPr>
        <w:rPr>
          <w:sz w:val="24"/>
        </w:rPr>
      </w:pPr>
      <w:r w:rsidRPr="00B45B9D">
        <w:rPr>
          <w:sz w:val="24"/>
        </w:rPr>
        <w:tab/>
      </w:r>
    </w:p>
    <w:p w14:paraId="247F7817" w14:textId="77777777" w:rsidR="001D3814" w:rsidRPr="00B45B9D" w:rsidRDefault="001D3814" w:rsidP="001D3814">
      <w:pPr>
        <w:rPr>
          <w:sz w:val="24"/>
        </w:rPr>
      </w:pPr>
    </w:p>
    <w:p w14:paraId="492ED3B6" w14:textId="77777777" w:rsidR="001D3814" w:rsidRPr="00B45B9D" w:rsidRDefault="001D3814" w:rsidP="001D3814">
      <w:pPr>
        <w:ind w:firstLine="720"/>
        <w:rPr>
          <w:sz w:val="24"/>
        </w:rPr>
      </w:pPr>
      <w:r w:rsidRPr="00B45B9D">
        <w:rPr>
          <w:sz w:val="24"/>
        </w:rPr>
        <w:t>Signed this ______ day of ___________, 2019.</w:t>
      </w:r>
    </w:p>
    <w:p w14:paraId="247CC04A" w14:textId="77777777" w:rsidR="001D3814" w:rsidRPr="00B45B9D" w:rsidRDefault="001D3814" w:rsidP="001D3814">
      <w:pPr>
        <w:rPr>
          <w:sz w:val="24"/>
        </w:rPr>
      </w:pPr>
    </w:p>
    <w:p w14:paraId="60E9A22F" w14:textId="57AB58CF" w:rsidR="001D3814" w:rsidRPr="00B45B9D" w:rsidRDefault="001D3814" w:rsidP="001D3814">
      <w:pPr>
        <w:rPr>
          <w:sz w:val="24"/>
        </w:rPr>
      </w:pP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tab/>
      </w:r>
      <w:r w:rsidRPr="00B45B9D">
        <w:rPr>
          <w:sz w:val="24"/>
        </w:rPr>
        <w:lastRenderedPageBreak/>
        <w:tab/>
        <w:t>____________________________________</w:t>
      </w:r>
    </w:p>
    <w:p w14:paraId="7DFFD3F7" w14:textId="77777777" w:rsidR="001D3814" w:rsidRPr="00B45B9D" w:rsidRDefault="001D3814" w:rsidP="001D3814">
      <w:pPr>
        <w:ind w:left="5040" w:firstLine="720"/>
        <w:rPr>
          <w:sz w:val="24"/>
        </w:rPr>
      </w:pPr>
      <w:r w:rsidRPr="00B45B9D">
        <w:rPr>
          <w:sz w:val="24"/>
        </w:rPr>
        <w:t xml:space="preserve">Judge </w:t>
      </w:r>
    </w:p>
    <w:p w14:paraId="5A73A456" w14:textId="77777777" w:rsidR="001D3814" w:rsidRPr="00B45B9D" w:rsidRDefault="001D3814" w:rsidP="001D3814">
      <w:pPr>
        <w:rPr>
          <w:sz w:val="24"/>
        </w:rPr>
      </w:pPr>
    </w:p>
    <w:p w14:paraId="73025D32" w14:textId="77617793" w:rsidR="00BC6779" w:rsidRPr="00B45B9D" w:rsidRDefault="00BC6779" w:rsidP="001D3814">
      <w:pPr>
        <w:rPr>
          <w:sz w:val="24"/>
        </w:rPr>
      </w:pPr>
    </w:p>
    <w:sectPr w:rsidR="00BC6779" w:rsidRPr="00B45B9D">
      <w:footerReference w:type="even" r:id="rId8"/>
      <w:footerReference w:type="default" r:id="rId9"/>
      <w:endnotePr>
        <w:numFmt w:val="decimal"/>
      </w:endnotePr>
      <w:pgSz w:w="12240" w:h="2016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23AD" w14:textId="77777777" w:rsidR="00A16E0E" w:rsidRDefault="00A16E0E">
      <w:r>
        <w:separator/>
      </w:r>
    </w:p>
  </w:endnote>
  <w:endnote w:type="continuationSeparator" w:id="0">
    <w:p w14:paraId="41529121" w14:textId="77777777" w:rsidR="00A16E0E" w:rsidRDefault="00A16E0E">
      <w:r>
        <w:continuationSeparator/>
      </w:r>
    </w:p>
  </w:endnote>
  <w:endnote w:type="continuationNotice" w:id="1">
    <w:p w14:paraId="01CE9864" w14:textId="77777777" w:rsidR="00A16E0E" w:rsidRDefault="00A1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AA67" w14:textId="77777777" w:rsidR="00A60AA1" w:rsidRDefault="00A60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FE7E4" w14:textId="77777777" w:rsidR="00A60AA1" w:rsidRDefault="00A60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E14D" w14:textId="5CEAC556" w:rsidR="00A60AA1" w:rsidRDefault="00A60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AE0">
      <w:rPr>
        <w:rStyle w:val="PageNumber"/>
        <w:noProof/>
      </w:rPr>
      <w:t>1</w:t>
    </w:r>
    <w:r>
      <w:rPr>
        <w:rStyle w:val="PageNumber"/>
      </w:rPr>
      <w:fldChar w:fldCharType="end"/>
    </w:r>
  </w:p>
  <w:p w14:paraId="49EB242F" w14:textId="77777777" w:rsidR="00A60AA1" w:rsidRDefault="00A60AA1">
    <w:pPr>
      <w:spacing w:line="240" w:lineRule="exact"/>
    </w:pPr>
  </w:p>
  <w:p w14:paraId="5CD7F76A" w14:textId="77777777" w:rsidR="00A60AA1" w:rsidRDefault="00A60AA1">
    <w:pPr>
      <w:pStyle w:val="Footer"/>
      <w:widowControl/>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2BFA" w14:textId="77777777" w:rsidR="00A16E0E" w:rsidRDefault="00A16E0E">
      <w:r>
        <w:separator/>
      </w:r>
    </w:p>
  </w:footnote>
  <w:footnote w:type="continuationSeparator" w:id="0">
    <w:p w14:paraId="3ED1BB1A" w14:textId="77777777" w:rsidR="00A16E0E" w:rsidRDefault="00A16E0E">
      <w:r>
        <w:continuationSeparator/>
      </w:r>
    </w:p>
  </w:footnote>
  <w:footnote w:type="continuationNotice" w:id="1">
    <w:p w14:paraId="18313B80" w14:textId="77777777" w:rsidR="00A16E0E" w:rsidRDefault="00A16E0E"/>
  </w:footnote>
  <w:footnote w:id="2">
    <w:p w14:paraId="5A01E1F0" w14:textId="1160D80F" w:rsidR="00A60AA1" w:rsidRDefault="00A60AA1">
      <w:pPr>
        <w:pStyle w:val="FootnoteText"/>
      </w:pPr>
      <w:r>
        <w:rPr>
          <w:rStyle w:val="FootnoteReference"/>
        </w:rPr>
        <w:footnoteRef/>
      </w:r>
      <w:r>
        <w:t xml:space="preserve"> </w:t>
      </w:r>
      <w:r w:rsidRPr="00007B9B">
        <w:rPr>
          <w:lang w:val="en-CA"/>
        </w:rPr>
        <w:t xml:space="preserve">Supreme Court of the United States Docket No. 18-5924, Transcript of Proceedings, available at </w:t>
      </w:r>
      <w:r w:rsidRPr="007F1F81">
        <w:t>https://www.supremecourt.gov/oral_arguments/argument_transcripts/2019/18-5924_4g25.pdf</w:t>
      </w:r>
      <w:r w:rsidRPr="00007B9B">
        <w:rPr>
          <w:lang w:val="en-CA"/>
        </w:rPr>
        <w:t>.</w:t>
      </w:r>
    </w:p>
  </w:footnote>
  <w:footnote w:id="3">
    <w:p w14:paraId="031D5F58" w14:textId="44BB5340" w:rsidR="00A60AA1" w:rsidRPr="00F56F45" w:rsidRDefault="00A60AA1" w:rsidP="00F56F45">
      <w:pPr>
        <w:pStyle w:val="FootnoteText"/>
      </w:pPr>
      <w:r>
        <w:rPr>
          <w:rStyle w:val="FootnoteReference"/>
        </w:rPr>
        <w:footnoteRef/>
      </w:r>
      <w:r>
        <w:t xml:space="preserve"> “</w:t>
      </w:r>
      <w:r w:rsidRPr="00F56F45">
        <w:t>JUSTICE GORSUCH: I mean, most -- most of the incorporation cases took place in like the 1940s. . . . And here we are in 2018 . . . still litigating incorporation of the Bill of Rights. Really? Come on, General.</w:t>
      </w:r>
    </w:p>
    <w:p w14:paraId="18DF6420" w14:textId="77777777" w:rsidR="00A60AA1" w:rsidRPr="00F56F45" w:rsidRDefault="00A60AA1" w:rsidP="00F56F45">
      <w:pPr>
        <w:pStyle w:val="FootnoteText"/>
      </w:pPr>
      <w:r w:rsidRPr="00F56F45">
        <w:t xml:space="preserve">. . . </w:t>
      </w:r>
    </w:p>
    <w:p w14:paraId="406DCBF5" w14:textId="46AFCA83" w:rsidR="00A60AA1" w:rsidRDefault="00A60AA1" w:rsidP="00F56F45">
      <w:pPr>
        <w:pStyle w:val="FootnoteText"/>
      </w:pPr>
      <w:r w:rsidRPr="00F56F45">
        <w:t>JUSTICE KAVANAUGH: Well, for the clause, why do you have to take into account all of the history, to pick up on Justice Gorsuch's question? Isn't it just too late in the day to argue that any of the Bill</w:t>
      </w:r>
      <w:r>
        <w:t xml:space="preserve"> of Rights is not incorporated?”</w:t>
      </w:r>
    </w:p>
    <w:p w14:paraId="701545B3" w14:textId="63C2BA31" w:rsidR="00A60AA1" w:rsidRDefault="00A60AA1" w:rsidP="00F56F45">
      <w:pPr>
        <w:pStyle w:val="FootnoteText"/>
      </w:pPr>
      <w:r w:rsidRPr="00E103BD">
        <w:t xml:space="preserve">Transcript of Oral Argument at 32-33, </w:t>
      </w:r>
      <w:r w:rsidRPr="00E103BD">
        <w:rPr>
          <w:i/>
        </w:rPr>
        <w:t>Timbs v. Indiana</w:t>
      </w:r>
      <w:r w:rsidRPr="00E103BD">
        <w:t xml:space="preserve">, (No. 17-1091) U.S. Supreme Court (available at </w:t>
      </w:r>
      <w:hyperlink r:id="rId1" w:history="1">
        <w:r w:rsidRPr="00E103BD">
          <w:rPr>
            <w:rStyle w:val="Hyperlink"/>
          </w:rPr>
          <w:t>https://www.supremecourt.gov/oral_arguments/argument_transcripts/2018/17-1091_1bn2.pdf</w:t>
        </w:r>
      </w:hyperlink>
      <w:r w:rsidRPr="00E103BD">
        <w:t>).</w:t>
      </w:r>
    </w:p>
  </w:footnote>
  <w:footnote w:id="4">
    <w:p w14:paraId="683F03B2" w14:textId="5B1513D7" w:rsidR="00A60AA1" w:rsidRDefault="00A60AA1">
      <w:pPr>
        <w:pStyle w:val="FootnoteText"/>
      </w:pPr>
      <w:r>
        <w:rPr>
          <w:rStyle w:val="FootnoteReference"/>
        </w:rPr>
        <w:footnoteRef/>
      </w:r>
      <w:r>
        <w:t xml:space="preserve"> </w:t>
      </w:r>
      <w:r w:rsidRPr="002F5E44">
        <w:t>According to Justice Douglas, “once it is decided that a particular Bill of Rights guarantee [applies to the states], the same constitutional standards apply against both the State and Federal Governments.”</w:t>
      </w:r>
      <w:r w:rsidRPr="002F5E44">
        <w:rPr>
          <w:i/>
        </w:rPr>
        <w:t xml:space="preserve"> Johnson</w:t>
      </w:r>
      <w:r w:rsidRPr="002F5E44">
        <w:t xml:space="preserve">, 406 U.S. at 385 (Douglas, J., dissenting in </w:t>
      </w:r>
      <w:r w:rsidRPr="002F5E44">
        <w:rPr>
          <w:i/>
        </w:rPr>
        <w:t>Apodaca</w:t>
      </w:r>
      <w:r w:rsidRPr="002F5E44">
        <w:t>).</w:t>
      </w:r>
    </w:p>
  </w:footnote>
  <w:footnote w:id="5">
    <w:p w14:paraId="32CACD68" w14:textId="72ADF30E" w:rsidR="001039DE" w:rsidRDefault="001039DE">
      <w:pPr>
        <w:pStyle w:val="FootnoteText"/>
      </w:pPr>
      <w:r>
        <w:rPr>
          <w:rStyle w:val="FootnoteReference"/>
        </w:rPr>
        <w:footnoteRef/>
      </w:r>
      <w:r>
        <w:t xml:space="preserve"> </w:t>
      </w:r>
      <w:r w:rsidRPr="001039DE">
        <w:rPr>
          <w:lang w:val="en-CA"/>
        </w:rPr>
        <w:t xml:space="preserve">Transcript of Proceedings at 35, available at </w:t>
      </w:r>
      <w:hyperlink r:id="rId2" w:history="1">
        <w:r w:rsidRPr="001039DE">
          <w:rPr>
            <w:rStyle w:val="Hyperlink"/>
          </w:rPr>
          <w:t>https://www.supremecourt.gov/oral_arguments/argument_transcripts/2019/18-5924_4g25.pdf</w:t>
        </w:r>
      </w:hyperlink>
      <w:r w:rsidRPr="001039DE">
        <w:rPr>
          <w:lang w:val="en-CA"/>
        </w:rPr>
        <w:t>.</w:t>
      </w:r>
    </w:p>
  </w:footnote>
  <w:footnote w:id="6">
    <w:p w14:paraId="56C91236" w14:textId="3D5EA007" w:rsidR="00A60AA1" w:rsidRDefault="00A60AA1" w:rsidP="00175D1E">
      <w:pPr>
        <w:pStyle w:val="FootnoteText"/>
      </w:pPr>
      <w:r>
        <w:rPr>
          <w:rStyle w:val="FootnoteReference"/>
        </w:rPr>
        <w:footnoteRef/>
      </w:r>
      <w:r>
        <w:t xml:space="preserve"> “[D]</w:t>
      </w:r>
      <w:r w:rsidRPr="004F6E2B">
        <w:t>evelopments in the Court's case law and empirical research have eroded support for the two (competing) rationales for </w:t>
      </w:r>
      <w:r w:rsidRPr="004F6E2B">
        <w:rPr>
          <w:i/>
          <w:iCs/>
        </w:rPr>
        <w:t>Apodaca.</w:t>
      </w:r>
      <w:r w:rsidRPr="004F6E2B">
        <w:t> As explained above, the </w:t>
      </w:r>
      <w:r w:rsidRPr="004F6E2B">
        <w:rPr>
          <w:i/>
          <w:iCs/>
        </w:rPr>
        <w:t>Apodaca</w:t>
      </w:r>
      <w:r w:rsidRPr="004F6E2B">
        <w:t> plurality's rationale - that the Sixth Amendment does not require jury unanimity, period - has been repudiated by this Court, as has the concurrence's rationale - that the Sixth Amendment need not be incorporated </w:t>
      </w:r>
      <w:r w:rsidRPr="004F6E2B">
        <w:rPr>
          <w:i/>
          <w:iCs/>
        </w:rPr>
        <w:t>in toto.</w:t>
      </w:r>
      <w:r>
        <w:t xml:space="preserve">”; </w:t>
      </w:r>
      <w:r w:rsidRPr="007F24C8">
        <w:rPr>
          <w:i/>
        </w:rPr>
        <w:t>see also</w:t>
      </w:r>
      <w:r>
        <w:t xml:space="preserve"> </w:t>
      </w:r>
      <w:r w:rsidRPr="00E54CA9">
        <w:rPr>
          <w:i/>
        </w:rPr>
        <w:t>Brief of Amicus Curiae The Rutherford Institute in Support of the Petitioner</w:t>
      </w:r>
      <w:r>
        <w:t xml:space="preserve">, </w:t>
      </w:r>
      <w:r>
        <w:rPr>
          <w:i/>
        </w:rPr>
        <w:t xml:space="preserve">Ramos v. </w:t>
      </w:r>
      <w:r w:rsidRPr="00B01B6C">
        <w:rPr>
          <w:i/>
        </w:rPr>
        <w:t>Louisiana</w:t>
      </w:r>
      <w:r>
        <w:t>, 2019 WL 2522629 (U.S. 2019) at</w:t>
      </w:r>
      <w:r w:rsidRPr="00B01B6C">
        <w:t xml:space="preserve"> 11-12</w:t>
      </w:r>
      <w:r>
        <w:t xml:space="preserve"> (“[The </w:t>
      </w:r>
      <w:r w:rsidRPr="004F6E2B">
        <w:rPr>
          <w:i/>
        </w:rPr>
        <w:t>McDonald</w:t>
      </w:r>
      <w:r>
        <w:t xml:space="preserve"> and </w:t>
      </w:r>
      <w:r w:rsidRPr="004F6E2B">
        <w:rPr>
          <w:i/>
        </w:rPr>
        <w:t>Timbs</w:t>
      </w:r>
      <w:r>
        <w:t>]</w:t>
      </w:r>
      <w:r w:rsidRPr="00B01B6C">
        <w:t xml:space="preserve"> approach is supported by the Court's precedent, </w:t>
      </w:r>
      <w:r w:rsidRPr="00B01B6C">
        <w:rPr>
          <w:i/>
          <w:iCs/>
        </w:rPr>
        <w:t>see Benton,</w:t>
      </w:r>
      <w:r w:rsidRPr="00B01B6C">
        <w:t> 395 U.S. at 795, and yet stands in stark contrast to the </w:t>
      </w:r>
      <w:r w:rsidRPr="00B01B6C">
        <w:rPr>
          <w:i/>
          <w:iCs/>
        </w:rPr>
        <w:t>Apodaca</w:t>
      </w:r>
      <w:r w:rsidRPr="00B01B6C">
        <w:t> plurality's functional analysis of th</w:t>
      </w:r>
      <w:r>
        <w:t>e right to a unanimous verdict.</w:t>
      </w:r>
      <w:r w:rsidRPr="00B01B6C">
        <w:t>”).</w:t>
      </w:r>
    </w:p>
  </w:footnote>
  <w:footnote w:id="7">
    <w:p w14:paraId="0EFA4EA5" w14:textId="3AF4C526" w:rsidR="00A60AA1" w:rsidRDefault="00A60AA1" w:rsidP="00084DE0">
      <w:pPr>
        <w:pStyle w:val="FootnoteText"/>
      </w:pPr>
      <w:r>
        <w:rPr>
          <w:rStyle w:val="FootnoteReference"/>
        </w:rPr>
        <w:footnoteRef/>
      </w:r>
      <w:r>
        <w:t xml:space="preserve"> “JUSTICE GINSBERG: Are you asking the Court to take up a question that five justices answered in </w:t>
      </w:r>
      <w:r w:rsidRPr="00084DE0">
        <w:rPr>
          <w:i/>
        </w:rPr>
        <w:t>Apodaca</w:t>
      </w:r>
      <w:r>
        <w:t xml:space="preserve">? That is . . . there were five votes to say that the Sixth Amendment requires jury unanimity in federal trials. You are asking to --us to reject a rule that five justices adhered to . . . </w:t>
      </w:r>
      <w:r w:rsidRPr="00B05C00">
        <w:t>there were four justices who said unanimity was required. And then there was Justice Powell, who said unanimity is required in federal trials. You are asking us to overturn that position, that unanimity is required in federal trials?</w:t>
      </w:r>
      <w:r>
        <w:t xml:space="preserve"> . . .</w:t>
      </w:r>
    </w:p>
    <w:p w14:paraId="4A8337EF" w14:textId="3982FF5C" w:rsidR="00A60AA1" w:rsidRDefault="00A60AA1" w:rsidP="00084DE0">
      <w:pPr>
        <w:pStyle w:val="FootnoteText"/>
      </w:pPr>
      <w:r w:rsidRPr="00B05C00">
        <w:t>JUSTICE GORSUCH: Then aren't we -aren't we in --having to address this fresh, just as you really seem to want us to do?</w:t>
      </w:r>
      <w:r>
        <w:t xml:space="preserve"> . . . </w:t>
      </w:r>
      <w:r w:rsidRPr="00B05C00">
        <w:t xml:space="preserve">If precedent weighs for anything, what do we do with </w:t>
      </w:r>
      <w:r w:rsidRPr="00AB040E">
        <w:rPr>
          <w:i/>
        </w:rPr>
        <w:t>Andres</w:t>
      </w:r>
      <w:r w:rsidRPr="00B05C00">
        <w:t>? What do we do with those 14 cases throughout Supreme Court history that seem to treat unanimity as part of the Sixth Amendment?</w:t>
      </w:r>
      <w:r>
        <w:t>”</w:t>
      </w:r>
    </w:p>
    <w:p w14:paraId="718B4B0E" w14:textId="3650716C" w:rsidR="00A60AA1" w:rsidRDefault="00A60AA1" w:rsidP="00084DE0">
      <w:pPr>
        <w:pStyle w:val="FootnoteText"/>
      </w:pPr>
      <w:r w:rsidRPr="00AB040E">
        <w:rPr>
          <w:i/>
          <w:lang w:val="en-CA"/>
        </w:rPr>
        <w:t>Ramos v. Louisiana</w:t>
      </w:r>
      <w:r>
        <w:rPr>
          <w:lang w:val="en-CA"/>
        </w:rPr>
        <w:t xml:space="preserve">, </w:t>
      </w:r>
      <w:r w:rsidRPr="00AB040E">
        <w:rPr>
          <w:lang w:val="en-CA"/>
        </w:rPr>
        <w:t>Supreme Court of the United States Docket No. 18-5924, Transcript of Proceedings</w:t>
      </w:r>
      <w:r>
        <w:rPr>
          <w:lang w:val="en-CA"/>
        </w:rPr>
        <w:t xml:space="preserve"> at 34-35</w:t>
      </w:r>
      <w:r w:rsidRPr="00AB040E">
        <w:rPr>
          <w:lang w:val="en-CA"/>
        </w:rPr>
        <w:t xml:space="preserve">, available at </w:t>
      </w:r>
      <w:hyperlink r:id="rId3" w:history="1">
        <w:r w:rsidRPr="00AB040E">
          <w:rPr>
            <w:rStyle w:val="Hyperlink"/>
          </w:rPr>
          <w:t>https://www.supremecourt.gov/oral_arguments/argument_transcripts/2019/18-5924_4g25.pdf</w:t>
        </w:r>
      </w:hyperlink>
      <w:r w:rsidRPr="00AB040E">
        <w:rPr>
          <w:lang w:val="en-CA"/>
        </w:rPr>
        <w:t>.</w:t>
      </w:r>
    </w:p>
  </w:footnote>
  <w:footnote w:id="8">
    <w:p w14:paraId="21D8D740" w14:textId="77777777" w:rsidR="00A60AA1" w:rsidRPr="0010176F" w:rsidRDefault="00A60AA1" w:rsidP="00C713C5">
      <w:pPr>
        <w:pStyle w:val="Numberedparagraph"/>
        <w:numPr>
          <w:ilvl w:val="0"/>
          <w:numId w:val="0"/>
        </w:numPr>
        <w:spacing w:line="240" w:lineRule="auto"/>
        <w:rPr>
          <w:sz w:val="20"/>
          <w:szCs w:val="20"/>
        </w:rPr>
      </w:pPr>
      <w:r w:rsidRPr="0010176F">
        <w:rPr>
          <w:rStyle w:val="FootnoteReference"/>
          <w:sz w:val="20"/>
          <w:szCs w:val="20"/>
        </w:rPr>
        <w:footnoteRef/>
      </w:r>
      <w:r w:rsidRPr="0010176F">
        <w:rPr>
          <w:sz w:val="20"/>
          <w:szCs w:val="20"/>
        </w:rPr>
        <w:t xml:space="preserve"> </w:t>
      </w:r>
      <w:r>
        <w:rPr>
          <w:sz w:val="20"/>
          <w:szCs w:val="20"/>
        </w:rPr>
        <w:t>For example, in</w:t>
      </w:r>
      <w:r w:rsidRPr="0010176F">
        <w:rPr>
          <w:sz w:val="20"/>
          <w:szCs w:val="20"/>
        </w:rPr>
        <w:t xml:space="preserve"> </w:t>
      </w:r>
      <w:r w:rsidRPr="00061C03">
        <w:rPr>
          <w:i/>
          <w:sz w:val="20"/>
          <w:szCs w:val="20"/>
        </w:rPr>
        <w:t>Hunter v. Underwood</w:t>
      </w:r>
      <w:r w:rsidRPr="0010176F">
        <w:rPr>
          <w:sz w:val="20"/>
          <w:szCs w:val="20"/>
        </w:rPr>
        <w:t xml:space="preserve">, 471 U.S. 222 (1985), the Court held that Art. VIII, § 182 of the Alabama Constitution of 1901, a provision disenfranchising misdemeanants, violated the Equal Protection Clause of the Fourteenth Amendment under </w:t>
      </w:r>
      <w:r w:rsidRPr="00061C03">
        <w:rPr>
          <w:i/>
          <w:sz w:val="20"/>
          <w:szCs w:val="20"/>
        </w:rPr>
        <w:t>Arlington Heights</w:t>
      </w:r>
      <w:r w:rsidRPr="0010176F">
        <w:rPr>
          <w:sz w:val="20"/>
          <w:szCs w:val="20"/>
        </w:rPr>
        <w:t>, despite the provision’s facial neutrality.</w:t>
      </w:r>
      <w:r>
        <w:rPr>
          <w:sz w:val="20"/>
          <w:szCs w:val="20"/>
        </w:rPr>
        <w:t xml:space="preserve"> </w:t>
      </w:r>
      <w:r w:rsidRPr="0010176F">
        <w:rPr>
          <w:sz w:val="20"/>
          <w:szCs w:val="20"/>
        </w:rPr>
        <w:t>John B. Knox, the president of the Alabama Constitutional Convention, had revealed the discriminatory purpose of the 1901 Constitution in his opening address: “And what is it that we want to do?</w:t>
      </w:r>
      <w:r>
        <w:rPr>
          <w:sz w:val="20"/>
          <w:szCs w:val="20"/>
        </w:rPr>
        <w:t xml:space="preserve"> </w:t>
      </w:r>
      <w:r w:rsidRPr="0010176F">
        <w:rPr>
          <w:sz w:val="20"/>
          <w:szCs w:val="20"/>
        </w:rPr>
        <w:t>Why it is within the limits imposed by the Federal Constitution, to establish white supremacy in this State.”</w:t>
      </w:r>
      <w:r>
        <w:rPr>
          <w:sz w:val="20"/>
          <w:szCs w:val="20"/>
        </w:rPr>
        <w:t xml:space="preserve"> </w:t>
      </w:r>
      <w:r w:rsidRPr="00061C03">
        <w:rPr>
          <w:i/>
          <w:sz w:val="20"/>
          <w:szCs w:val="20"/>
        </w:rPr>
        <w:t>Id.</w:t>
      </w:r>
      <w:r w:rsidRPr="0010176F">
        <w:rPr>
          <w:sz w:val="20"/>
          <w:szCs w:val="20"/>
        </w:rPr>
        <w:t xml:space="preserve"> at 228-29.</w:t>
      </w:r>
      <w:r>
        <w:rPr>
          <w:sz w:val="20"/>
          <w:szCs w:val="20"/>
        </w:rPr>
        <w:t xml:space="preserve"> </w:t>
      </w:r>
      <w:r w:rsidRPr="0010176F">
        <w:rPr>
          <w:sz w:val="20"/>
          <w:szCs w:val="20"/>
        </w:rPr>
        <w:t>Alabama in 1901 was no different than Louisiana during the same time period.</w:t>
      </w:r>
      <w:r>
        <w:rPr>
          <w:sz w:val="20"/>
          <w:szCs w:val="20"/>
        </w:rPr>
        <w:t xml:space="preserve"> </w:t>
      </w:r>
      <w:r w:rsidRPr="0010176F">
        <w:rPr>
          <w:sz w:val="20"/>
          <w:szCs w:val="20"/>
        </w:rPr>
        <w:t xml:space="preserve">As the Court in </w:t>
      </w:r>
      <w:r w:rsidRPr="00061C03">
        <w:rPr>
          <w:i/>
          <w:sz w:val="20"/>
          <w:szCs w:val="20"/>
        </w:rPr>
        <w:t>Hunter</w:t>
      </w:r>
      <w:r w:rsidRPr="0010176F">
        <w:rPr>
          <w:sz w:val="20"/>
          <w:szCs w:val="20"/>
        </w:rPr>
        <w:t xml:space="preserve"> noted, “the Alabama Constitutional Convention of 1901 was part of a movement that swept the post-Reconstruction South to disenfranchise blacks.”</w:t>
      </w:r>
      <w:r>
        <w:rPr>
          <w:sz w:val="20"/>
          <w:szCs w:val="20"/>
        </w:rPr>
        <w:t xml:space="preserve"> </w:t>
      </w:r>
      <w:r w:rsidRPr="00061C03">
        <w:rPr>
          <w:i/>
          <w:sz w:val="20"/>
          <w:szCs w:val="20"/>
        </w:rPr>
        <w:t>Id.</w:t>
      </w:r>
    </w:p>
  </w:footnote>
  <w:footnote w:id="9">
    <w:p w14:paraId="08A5B194" w14:textId="2B80F642" w:rsidR="00A60AA1" w:rsidRDefault="00A60AA1" w:rsidP="00C713C5">
      <w:pPr>
        <w:pStyle w:val="FootnoteText"/>
      </w:pPr>
      <w:r>
        <w:rPr>
          <w:rStyle w:val="FootnoteReference"/>
        </w:rPr>
        <w:footnoteRef/>
      </w:r>
      <w:r>
        <w:t xml:space="preserve"> “Under the analysis of </w:t>
      </w:r>
      <w:r w:rsidRPr="00B1641B">
        <w:rPr>
          <w:i/>
          <w:iCs/>
        </w:rPr>
        <w:t>Arlington Heights</w:t>
      </w:r>
      <w:r>
        <w:t xml:space="preserve">, the initial enactment of 1898 is unconstitutional under the Fourteenth Amendment’s Equal Protection Clause.…The current scheme in Louisiana has a disparate impact on minority jurors and defendants and therefore violates the Equal Protection Clause of the Fourteenth Amendment and is therefore unconstitutional.” </w:t>
      </w:r>
      <w:r w:rsidRPr="00C713C5">
        <w:rPr>
          <w:i/>
        </w:rPr>
        <w:t>See</w:t>
      </w:r>
      <w:r w:rsidRPr="009859D2">
        <w:rPr>
          <w:i/>
        </w:rPr>
        <w:t xml:space="preserve"> also</w:t>
      </w:r>
      <w:r>
        <w:t xml:space="preserve"> </w:t>
      </w:r>
      <w:r w:rsidRPr="009859D2">
        <w:rPr>
          <w:i/>
          <w:iCs/>
        </w:rPr>
        <w:t>State v. Jinks</w:t>
      </w:r>
      <w:r w:rsidRPr="009859D2">
        <w:t>, 18-733, 2019 WL 1929961</w:t>
      </w:r>
      <w:r>
        <w:t>, 706</w:t>
      </w:r>
      <w:r w:rsidRPr="009859D2">
        <w:t xml:space="preserve"> (</w:t>
      </w:r>
      <w:r w:rsidRPr="009859D2">
        <w:rPr>
          <w:lang w:val="it-IT"/>
        </w:rPr>
        <w:t>La. Ct. App. May 1, 2019)</w:t>
      </w:r>
      <w:r>
        <w:rPr>
          <w:lang w:val="it-IT"/>
        </w:rPr>
        <w:t xml:space="preserve"> (Cooks, dissenting</w:t>
      </w:r>
      <w:r w:rsidRPr="009859D2">
        <w:rPr>
          <w:lang w:val="it-IT"/>
        </w:rPr>
        <w:t>) (“</w:t>
      </w:r>
      <w:r w:rsidRPr="009859D2">
        <w:rPr>
          <w:bCs/>
        </w:rPr>
        <w:t>Louisiana's historic racial basis for its non-unanimous verdict law provides no support for upholding its constitutionality and, in fact, provides persuasive evidence of its unconstitutionality</w:t>
      </w:r>
      <w:r w:rsidRPr="009859D2">
        <w:t>.”)</w:t>
      </w:r>
    </w:p>
  </w:footnote>
  <w:footnote w:id="10">
    <w:p w14:paraId="35D02D6A" w14:textId="399AD5CE" w:rsidR="00A60AA1" w:rsidRPr="0010176F" w:rsidRDefault="00A60AA1" w:rsidP="00331895">
      <w:pPr>
        <w:pStyle w:val="FootnoteText"/>
        <w:jc w:val="both"/>
      </w:pPr>
      <w:r w:rsidRPr="0010176F">
        <w:rPr>
          <w:rStyle w:val="FootnoteReference"/>
        </w:rPr>
        <w:footnoteRef/>
      </w:r>
      <w:r w:rsidRPr="0010176F">
        <w:t xml:space="preserve"> Article 116 read as follows:</w:t>
      </w:r>
      <w:r>
        <w:t xml:space="preserve"> </w:t>
      </w:r>
    </w:p>
    <w:p w14:paraId="0E6B01A5" w14:textId="114A4688" w:rsidR="00A60AA1" w:rsidRPr="0010176F" w:rsidRDefault="00A60AA1" w:rsidP="00331895">
      <w:pPr>
        <w:pStyle w:val="FootnoteText"/>
        <w:ind w:left="720" w:right="720"/>
        <w:jc w:val="both"/>
      </w:pPr>
      <w:r>
        <w:t>“</w:t>
      </w:r>
      <w:r w:rsidRPr="0010176F">
        <w:t>The General Assembly shall provide for the selection of competent and intelligent jurors.</w:t>
      </w:r>
      <w:r>
        <w:t xml:space="preserve"> </w:t>
      </w:r>
      <w:r w:rsidRPr="0010176F">
        <w:t>All cases in which the punishment may not be at hard labor shall, until otherwise provided by law, which shall not be prior to 1904, be tried by the judge without a jury.</w:t>
      </w:r>
      <w:r>
        <w:t xml:space="preserve"> </w:t>
      </w:r>
      <w:r w:rsidRPr="0010176F">
        <w:t>Cases in which the punishment may be at hard labor shall be tried by a jury of five, all of whom must concur to render a verdict; cases in which the punishment is necessarily at hard labor, by a jury of twelve, nine of whom concurring may render a verdict; cases in which the punishment may be capital, by a jury of twelve, all of whom must concur to render a verdict.</w:t>
      </w:r>
      <w:r>
        <w:t>”</w:t>
      </w:r>
    </w:p>
    <w:p w14:paraId="3A2ACB04" w14:textId="77777777" w:rsidR="00A60AA1" w:rsidRPr="0010176F" w:rsidRDefault="00A60AA1" w:rsidP="00331895">
      <w:pPr>
        <w:pStyle w:val="FootnoteText"/>
        <w:jc w:val="both"/>
      </w:pPr>
      <w:r w:rsidRPr="0010176F">
        <w:t>La. Const. of 1898, art. 116.</w:t>
      </w:r>
    </w:p>
  </w:footnote>
  <w:footnote w:id="11">
    <w:p w14:paraId="16BB3B83" w14:textId="1FE7ED6F" w:rsidR="00A60AA1" w:rsidRDefault="00A60AA1">
      <w:pPr>
        <w:pStyle w:val="FootnoteText"/>
      </w:pPr>
      <w:r>
        <w:rPr>
          <w:rStyle w:val="FootnoteReference"/>
        </w:rPr>
        <w:footnoteRef/>
      </w:r>
      <w:r>
        <w:t xml:space="preserve"> </w:t>
      </w:r>
      <w:r w:rsidRPr="0015630A">
        <w:t xml:space="preserve">Michael L. Lanza, </w:t>
      </w:r>
      <w:r w:rsidRPr="00691B06">
        <w:rPr>
          <w:i/>
        </w:rPr>
        <w:t>Little More than a Family Matter: The Constitution of 1898</w:t>
      </w:r>
      <w:r w:rsidRPr="0015630A">
        <w:t xml:space="preserve"> in </w:t>
      </w:r>
      <w:r w:rsidRPr="00691B06">
        <w:rPr>
          <w:i/>
        </w:rPr>
        <w:t>In Search of Fundamental Law: Louisiana’s Constitutions, 1812-1974</w:t>
      </w:r>
      <w:r w:rsidRPr="0015630A">
        <w:rPr>
          <w:u w:val="single"/>
        </w:rPr>
        <w:t>,</w:t>
      </w:r>
      <w:r w:rsidRPr="0015630A">
        <w:t xml:space="preserve"> 93–109, 93 (Warren M. Billings &amp; Edward F. Haas, eds. 1993).</w:t>
      </w:r>
      <w:r>
        <w:t xml:space="preserve"> </w:t>
      </w:r>
    </w:p>
  </w:footnote>
  <w:footnote w:id="12">
    <w:p w14:paraId="5BBA4950" w14:textId="77777777" w:rsidR="00A60AA1" w:rsidRDefault="00A60AA1">
      <w:pPr>
        <w:pStyle w:val="FootnoteText"/>
      </w:pPr>
      <w:r>
        <w:rPr>
          <w:rStyle w:val="FootnoteReference"/>
        </w:rPr>
        <w:footnoteRef/>
      </w:r>
      <w:r>
        <w:t xml:space="preserve"> </w:t>
      </w:r>
      <w:r w:rsidRPr="00691B06">
        <w:rPr>
          <w:i/>
        </w:rPr>
        <w:t>Official Journal of the Proceedings of the Constitutional Convention of the State of Louisiana</w:t>
      </w:r>
      <w:r w:rsidRPr="0015630A">
        <w:t>, 8-9 (1898).</w:t>
      </w:r>
    </w:p>
  </w:footnote>
  <w:footnote w:id="13">
    <w:p w14:paraId="149B5802" w14:textId="4F9CAF8D" w:rsidR="00A60AA1" w:rsidRDefault="00A60AA1">
      <w:pPr>
        <w:pStyle w:val="FootnoteText"/>
      </w:pPr>
      <w:r>
        <w:rPr>
          <w:rStyle w:val="FootnoteReference"/>
        </w:rPr>
        <w:footnoteRef/>
      </w:r>
      <w:r>
        <w:t xml:space="preserve"> Lanza </w:t>
      </w:r>
      <w:r w:rsidRPr="0015630A">
        <w:t>at 374.</w:t>
      </w:r>
      <w:r>
        <w:t xml:space="preserve"> </w:t>
      </w:r>
    </w:p>
  </w:footnote>
  <w:footnote w:id="14">
    <w:p w14:paraId="268C0551" w14:textId="3D108A4D" w:rsidR="00A60AA1" w:rsidRDefault="00A60AA1">
      <w:pPr>
        <w:pStyle w:val="FootnoteText"/>
      </w:pPr>
      <w:r>
        <w:rPr>
          <w:rStyle w:val="FootnoteReference"/>
        </w:rPr>
        <w:footnoteRef/>
      </w:r>
      <w:r>
        <w:t xml:space="preserve"> </w:t>
      </w:r>
      <w:r w:rsidRPr="00691B06">
        <w:rPr>
          <w:i/>
        </w:rPr>
        <w:t>Id.</w:t>
      </w:r>
      <w:r w:rsidRPr="0015630A">
        <w:t xml:space="preserve"> at 380.</w:t>
      </w:r>
      <w:r>
        <w:t xml:space="preserve"> </w:t>
      </w:r>
    </w:p>
  </w:footnote>
  <w:footnote w:id="15">
    <w:p w14:paraId="04E73492" w14:textId="1C8EF3DA" w:rsidR="00A60AA1" w:rsidRDefault="00A60AA1">
      <w:pPr>
        <w:pStyle w:val="FootnoteText"/>
      </w:pPr>
      <w:r>
        <w:rPr>
          <w:rStyle w:val="FootnoteReference"/>
        </w:rPr>
        <w:footnoteRef/>
      </w:r>
      <w:r>
        <w:t xml:space="preserve"> </w:t>
      </w:r>
      <w:r w:rsidRPr="00691B06">
        <w:rPr>
          <w:i/>
        </w:rPr>
        <w:t>See</w:t>
      </w:r>
      <w:r w:rsidRPr="0015630A">
        <w:t xml:space="preserve"> </w:t>
      </w:r>
      <w:r>
        <w:t xml:space="preserve">chart in </w:t>
      </w:r>
      <w:r w:rsidRPr="00691B06">
        <w:rPr>
          <w:i/>
        </w:rPr>
        <w:t>Journal</w:t>
      </w:r>
      <w:r>
        <w:rPr>
          <w:i/>
        </w:rPr>
        <w:t>,</w:t>
      </w:r>
      <w:r w:rsidRPr="00691B06">
        <w:rPr>
          <w:i/>
        </w:rPr>
        <w:t xml:space="preserve"> </w:t>
      </w:r>
      <w:r w:rsidRPr="00CC7C40">
        <w:rPr>
          <w:i/>
        </w:rPr>
        <w:t>supra</w:t>
      </w:r>
      <w:r w:rsidRPr="0015630A">
        <w:t>.</w:t>
      </w:r>
      <w:r>
        <w:t xml:space="preserve"> </w:t>
      </w:r>
    </w:p>
  </w:footnote>
  <w:footnote w:id="16">
    <w:p w14:paraId="34D8881A" w14:textId="77777777" w:rsidR="00A60AA1" w:rsidRDefault="00A60AA1">
      <w:pPr>
        <w:pStyle w:val="FootnoteText"/>
      </w:pPr>
      <w:r>
        <w:rPr>
          <w:rStyle w:val="FootnoteReference"/>
        </w:rPr>
        <w:footnoteRef/>
      </w:r>
      <w:r>
        <w:t xml:space="preserve"> </w:t>
      </w:r>
      <w:r w:rsidRPr="00691B06">
        <w:rPr>
          <w:i/>
        </w:rPr>
        <w:t>Id.</w:t>
      </w:r>
      <w:r>
        <w:t xml:space="preserve"> </w:t>
      </w:r>
    </w:p>
  </w:footnote>
  <w:footnote w:id="17">
    <w:p w14:paraId="672D542C" w14:textId="77777777" w:rsidR="00A60AA1" w:rsidRPr="007B4EEA" w:rsidRDefault="00A60AA1" w:rsidP="006825DD">
      <w:pPr>
        <w:pStyle w:val="FootnoteText"/>
      </w:pPr>
      <w:r>
        <w:rPr>
          <w:rStyle w:val="FootnoteReference"/>
        </w:rPr>
        <w:footnoteRef/>
      </w:r>
      <w:r>
        <w:t xml:space="preserve"> John Simerman, </w:t>
      </w:r>
      <w:r w:rsidRPr="001A4B1D">
        <w:rPr>
          <w:i/>
        </w:rPr>
        <w:t>Louisiana's Catholic bishops throw support behind unanimous jury amendment on Nov. 6 ballot</w:t>
      </w:r>
      <w:r>
        <w:t xml:space="preserve"> (10/4/18) </w:t>
      </w:r>
      <w:hyperlink r:id="rId4" w:history="1">
        <w:r w:rsidRPr="005C1005">
          <w:rPr>
            <w:rStyle w:val="Hyperlink"/>
          </w:rPr>
          <w:t>https://www.nola.com/news/article_88668c20-b851-5eaa-b345-14adeba06af6.html</w:t>
        </w:r>
      </w:hyperlink>
      <w:r>
        <w:t xml:space="preserve">; </w:t>
      </w:r>
      <w:r w:rsidRPr="007B4EEA">
        <w:t>Julia O'Donoghue</w:t>
      </w:r>
      <w:r>
        <w:t xml:space="preserve">, </w:t>
      </w:r>
      <w:r w:rsidRPr="007B4EEA">
        <w:rPr>
          <w:i/>
        </w:rPr>
        <w:t>Louisiana approves unanimous jury requirement, scrapping Jim Crow-era law</w:t>
      </w:r>
      <w:r>
        <w:t xml:space="preserve"> (11/7/18) </w:t>
      </w:r>
      <w:hyperlink r:id="rId5" w:history="1">
        <w:r>
          <w:rPr>
            <w:rStyle w:val="Hyperlink"/>
          </w:rPr>
          <w:t>https://www.nola.com/news/crime_police/article_cae52b78-3812-57ae-8676-ea4dc3a5d3d0.html</w:t>
        </w:r>
      </w:hyperlink>
      <w:r>
        <w:t xml:space="preserve">. </w:t>
      </w:r>
    </w:p>
  </w:footnote>
  <w:footnote w:id="18">
    <w:p w14:paraId="35C40564" w14:textId="6BA2858D" w:rsidR="00A60AA1" w:rsidRDefault="00A60AA1" w:rsidP="00E17CEC">
      <w:pPr>
        <w:pStyle w:val="FootnoteText"/>
      </w:pPr>
      <w:r>
        <w:rPr>
          <w:rStyle w:val="FootnoteReference"/>
        </w:rPr>
        <w:footnoteRef/>
      </w:r>
      <w:r>
        <w:t xml:space="preserve"> Advocate Staff Report, </w:t>
      </w:r>
      <w:r w:rsidRPr="002F7C8E">
        <w:rPr>
          <w:i/>
        </w:rPr>
        <w:t>The Advocate wins first Pulitzer Prize for series that helped change Louisiana's split-jury law</w:t>
      </w:r>
      <w:r>
        <w:t xml:space="preserve">, The Advocate (New Orleans, La.) (April 15, 2019). </w:t>
      </w:r>
      <w:hyperlink r:id="rId6" w:history="1">
        <w:r>
          <w:rPr>
            <w:rStyle w:val="Hyperlink"/>
          </w:rPr>
          <w:t>https://www.theadvocate.com/baton_rouge/news/article_dba87282-5f28-11e9-92b3-bfba0cf08ab2.html</w:t>
        </w:r>
      </w:hyperlink>
    </w:p>
  </w:footnote>
  <w:footnote w:id="19">
    <w:p w14:paraId="3C0F9EED" w14:textId="71961464" w:rsidR="00A60AA1" w:rsidRDefault="00A60AA1" w:rsidP="00E17CEC">
      <w:pPr>
        <w:pStyle w:val="FootnoteText"/>
      </w:pPr>
      <w:r>
        <w:rPr>
          <w:rStyle w:val="FootnoteReference"/>
        </w:rPr>
        <w:footnoteRef/>
      </w:r>
      <w:r>
        <w:t xml:space="preserve"> </w:t>
      </w:r>
      <w:r w:rsidRPr="002113A9">
        <w:t xml:space="preserve">Jeff Adelson, </w:t>
      </w:r>
      <w:r w:rsidRPr="002113A9">
        <w:rPr>
          <w:i/>
          <w:iCs/>
        </w:rPr>
        <w:t>Download Data Used in The Advocate’s Exhaustive Research in ‘Tilting the Scales’ Series</w:t>
      </w:r>
      <w:r w:rsidRPr="002113A9">
        <w:t xml:space="preserve">, </w:t>
      </w:r>
      <w:r>
        <w:t>The Advocate</w:t>
      </w:r>
      <w:r w:rsidRPr="002113A9">
        <w:t xml:space="preserve"> (New Orleans, La.) (Apr. 1, 2018), https://www.theadvocate.com/new_orleans/news/ courts/article_6f31d456-351a-11e8-9829-130ab26e88e9.h</w:t>
      </w:r>
      <w:r>
        <w:t>tml.</w:t>
      </w:r>
    </w:p>
  </w:footnote>
  <w:footnote w:id="20">
    <w:p w14:paraId="750226D6" w14:textId="31F41B87" w:rsidR="00A60AA1" w:rsidRDefault="00A60AA1">
      <w:pPr>
        <w:pStyle w:val="FootnoteText"/>
      </w:pPr>
      <w:r>
        <w:rPr>
          <w:rStyle w:val="FootnoteReference"/>
        </w:rPr>
        <w:footnoteRef/>
      </w:r>
      <w:r>
        <w:t xml:space="preserve"> </w:t>
      </w:r>
      <w:r w:rsidRPr="00503826">
        <w:t>Jeff Adelson</w:t>
      </w:r>
      <w:r>
        <w:t xml:space="preserve">, </w:t>
      </w:r>
      <w:r w:rsidRPr="002E107D">
        <w:t>How an abnormal Louisiana law deprives, discriminates and drives incarceration: Tilting the scales</w:t>
      </w:r>
      <w:r>
        <w:t xml:space="preserve">, The Advocate (New Orleans, La.) (Apr. 1, 2018), </w:t>
      </w:r>
      <w:hyperlink r:id="rId7" w:history="1">
        <w:r>
          <w:rPr>
            <w:rStyle w:val="Hyperlink"/>
          </w:rPr>
          <w:t>https://www.nola.com/news/courts/article_8e284de1-9c5c-5d77-bcc5-6e22a3053aa0.html</w:t>
        </w:r>
      </w:hyperlink>
      <w:r>
        <w:t xml:space="preserve">. </w:t>
      </w:r>
    </w:p>
  </w:footnote>
  <w:footnote w:id="21">
    <w:p w14:paraId="2131DCB9" w14:textId="600B4701" w:rsidR="00A60AA1" w:rsidRDefault="00A60AA1">
      <w:pPr>
        <w:pStyle w:val="FootnoteText"/>
      </w:pPr>
      <w:r>
        <w:rPr>
          <w:rStyle w:val="FootnoteReference"/>
        </w:rPr>
        <w:footnoteRef/>
      </w:r>
      <w:r>
        <w:t xml:space="preserve"> </w:t>
      </w:r>
      <w:r w:rsidRPr="00916928">
        <w:rPr>
          <w:i/>
        </w:rPr>
        <w:t>Id</w:t>
      </w:r>
      <w:r>
        <w:t xml:space="preserve">. </w:t>
      </w:r>
    </w:p>
  </w:footnote>
  <w:footnote w:id="22">
    <w:p w14:paraId="7931D6DD" w14:textId="77777777" w:rsidR="00A60AA1" w:rsidRPr="00194EDE" w:rsidRDefault="00A60AA1" w:rsidP="00FC5AC1">
      <w:pPr>
        <w:jc w:val="both"/>
        <w:rPr>
          <w:szCs w:val="20"/>
        </w:rPr>
      </w:pPr>
      <w:r>
        <w:rPr>
          <w:rStyle w:val="FootnoteReference"/>
        </w:rPr>
        <w:footnoteRef/>
      </w:r>
      <w:r>
        <w:t xml:space="preserve"> N</w:t>
      </w:r>
      <w:r w:rsidRPr="00D7435C">
        <w:t>on-unanimous verdicts significantly constrict the flow of information within jury deliberations and shorten deliberations overall, leading to less accurate judgments, and reducing the likelihood that jurors will hear, respect, or vigorously challenge each other’s views.</w:t>
      </w:r>
      <w:r>
        <w:t xml:space="preserve"> </w:t>
      </w:r>
      <w:r w:rsidRPr="00D7435C">
        <w:t>Crucially, a minority viewpoint can simply be ignored in a non-unanimous setting, and generally is.</w:t>
      </w:r>
      <w:r>
        <w:t xml:space="preserve"> </w:t>
      </w:r>
      <w:r w:rsidRPr="00D7435C">
        <w:t>It has been averred that non</w:t>
      </w:r>
      <w:r>
        <w:t>-</w:t>
      </w:r>
      <w:r w:rsidRPr="00D7435C">
        <w:t xml:space="preserve">unanimous voting schemes are likely to chill participation by the precise groups whose exclusion the Court has proscribed in other contexts. </w:t>
      </w:r>
      <w:r w:rsidRPr="00FC5AC1">
        <w:rPr>
          <w:i/>
        </w:rPr>
        <w:t>See</w:t>
      </w:r>
      <w:r>
        <w:t xml:space="preserve"> </w:t>
      </w:r>
      <w:r w:rsidRPr="00D7435C">
        <w:t xml:space="preserve">Kim Taylor-Thompson, </w:t>
      </w:r>
      <w:r w:rsidRPr="00FC5AC1">
        <w:rPr>
          <w:i/>
        </w:rPr>
        <w:t>Empty Votes in Jury Deliberations</w:t>
      </w:r>
      <w:r w:rsidRPr="00D7435C">
        <w:t xml:space="preserve">, 113 Harv. L. Rev. 1261, 1276-1277 (2000) (citing and describing relevant social science studies); Valerie P. Hans, </w:t>
      </w:r>
      <w:r w:rsidRPr="00FC5AC1">
        <w:rPr>
          <w:i/>
        </w:rPr>
        <w:t>The Power of Twelve: The Impact of Jury Size and Unanimity on Civil Jury Decision Making</w:t>
      </w:r>
      <w:r w:rsidRPr="00194EDE">
        <w:t>, 4 Del. L. Rev. 1 (2001).</w:t>
      </w:r>
    </w:p>
  </w:footnote>
  <w:footnote w:id="23">
    <w:p w14:paraId="607EB410" w14:textId="28387962" w:rsidR="00A60AA1" w:rsidRDefault="00A60AA1">
      <w:pPr>
        <w:pStyle w:val="FootnoteText"/>
      </w:pPr>
      <w:r>
        <w:rPr>
          <w:rStyle w:val="FootnoteReference"/>
        </w:rPr>
        <w:footnoteRef/>
      </w:r>
      <w:r>
        <w:t xml:space="preserve"> </w:t>
      </w:r>
      <w:r w:rsidRPr="00C478E4">
        <w:rPr>
          <w:i/>
        </w:rPr>
        <w:t>See Brief of Innocence Project New Orleans and The Innocence Project, Amici Curiae in Support of Petitioner, Ramos v. Louisiana,</w:t>
      </w:r>
      <w:r w:rsidRPr="00C478E4">
        <w:t xml:space="preserve"> 2019 WL 2576550 (U.S.</w:t>
      </w:r>
      <w:r>
        <w:t xml:space="preserve"> 2019) at 6-27 (discussing the ease through which wrongful convictions were obtained in Louisiana with non-unanimous jury verdicts).</w:t>
      </w:r>
    </w:p>
  </w:footnote>
  <w:footnote w:id="24">
    <w:p w14:paraId="3C76A9C6" w14:textId="49C57D45" w:rsidR="00A60AA1" w:rsidRPr="005C2423" w:rsidRDefault="00A60AA1" w:rsidP="00331895">
      <w:pPr>
        <w:pStyle w:val="FootnoteText"/>
        <w:jc w:val="both"/>
        <w:rPr>
          <w:sz w:val="24"/>
        </w:rPr>
      </w:pPr>
      <w:r w:rsidRPr="003309EE">
        <w:rPr>
          <w:vertAlign w:val="superscript"/>
        </w:rPr>
        <w:footnoteRef/>
      </w:r>
      <w:r w:rsidR="007176C9">
        <w:t xml:space="preserve"> Note that t</w:t>
      </w:r>
      <w:r w:rsidRPr="003309EE">
        <w:t>he question of whether Louisiana’s non-unanimous jury verdict provision violates the Equal Protection Clause of the Fourteenth Amendment has not been addressed by the Louisiana Supreme Court.</w:t>
      </w:r>
      <w:r>
        <w:t xml:space="preserve"> </w:t>
      </w:r>
      <w:r w:rsidRPr="003309EE">
        <w:rPr>
          <w:i/>
        </w:rPr>
        <w:t>See State v. Hankton</w:t>
      </w:r>
      <w:r w:rsidRPr="003309EE">
        <w:t xml:space="preserve">, 2012-0375 (La. App. 4 Cir. 8/2/13), 122 So. 3d 1028, 1032, writ denied, 2013-2109 (La. 3/14/14), 134 So. 3d 1193, citing </w:t>
      </w:r>
      <w:r w:rsidRPr="003309EE">
        <w:rPr>
          <w:i/>
        </w:rPr>
        <w:t>State v. Lewis</w:t>
      </w:r>
      <w:r w:rsidRPr="003309EE">
        <w:t xml:space="preserve">, 2010-1775 (La. App. 4 Cir. 4/4/12), 96 So. 3d 1165, 1171, </w:t>
      </w:r>
      <w:r w:rsidRPr="003309EE">
        <w:rPr>
          <w:i/>
        </w:rPr>
        <w:t>writ granted</w:t>
      </w:r>
      <w:r w:rsidRPr="003309EE">
        <w:t xml:space="preserve">, 2012-1021 (La. 12/14/12), 104 So. 3d 425, and </w:t>
      </w:r>
      <w:r w:rsidRPr="003309EE">
        <w:rPr>
          <w:i/>
        </w:rPr>
        <w:t>rev'd</w:t>
      </w:r>
      <w:r w:rsidRPr="003309EE">
        <w:t>, 2012-1021 (La. 3/19/13), 112 So. 3d 796.</w:t>
      </w:r>
      <w:r>
        <w:t xml:space="preserve"> </w:t>
      </w:r>
      <w:r w:rsidRPr="003309EE">
        <w:t xml:space="preserve">In </w:t>
      </w:r>
      <w:r w:rsidRPr="003309EE">
        <w:rPr>
          <w:i/>
        </w:rPr>
        <w:t>Hankton</w:t>
      </w:r>
      <w:r w:rsidRPr="003309EE">
        <w:t>, the Louisiana Fourth Circuit Court of Appeals addressed this question for the first time; however, because the Court ruled that Mr. Hankton had failed to preserve the issue for appeal, the Court did not address the substance of Mr. Hankton’s Equal Protection claim in its holding, limiting its substantive analysis of this issue to dicta portions of the opinion. 122 So. 3d at 1029 (“</w:t>
      </w:r>
      <w:r w:rsidRPr="003007AE">
        <w:t>we conclude that Mr. Hankton has failed to preserve the issue for appellate review by failing to request an evidentiary hearing on his allegations and therefore do not directly consider the merits of his argument.”).</w:t>
      </w:r>
      <w:r w:rsidRPr="00194EDE">
        <w:rPr>
          <w:sz w:val="24"/>
        </w:rPr>
        <w:t xml:space="preserve"> </w:t>
      </w:r>
    </w:p>
  </w:footnote>
  <w:footnote w:id="25">
    <w:p w14:paraId="6210F21E" w14:textId="3E889C7A" w:rsidR="000D0231" w:rsidRDefault="000D0231" w:rsidP="000D0231">
      <w:pPr>
        <w:pStyle w:val="FootnoteText"/>
      </w:pPr>
      <w:r>
        <w:rPr>
          <w:rStyle w:val="FootnoteReference"/>
        </w:rPr>
        <w:footnoteRef/>
      </w:r>
      <w:r>
        <w:t xml:space="preserve"> Even in a </w:t>
      </w:r>
      <w:r w:rsidR="00FF4FFF">
        <w:t xml:space="preserve">non-juvenile life-without-parole case, </w:t>
      </w:r>
      <w:r>
        <w:t>these considerations should be weighed. Judge Conery of the Third Circuit Court of Appeal recently stated that he</w:t>
      </w:r>
      <w:r w:rsidR="00FF4FFF">
        <w:t xml:space="preserve"> would suggest</w:t>
      </w:r>
      <w:r>
        <w:t xml:space="preserve"> “an evidentiary hearing to include victim impact evidence and evidence of the costs and expenses of a murder trial which may be reversed if the Supreme Court overturns the Louisiana law allowing non-unanimous jury verdicts in </w:t>
      </w:r>
      <w:r w:rsidRPr="00FF4FFF">
        <w:rPr>
          <w:i/>
        </w:rPr>
        <w:t>Ramos</w:t>
      </w:r>
      <w:r>
        <w:t xml:space="preserve">. Unless there is a pressing need or reason to move forward, such as the health or availability in the future of a witness, a stay should be seriously considered. I would at this point leave that decision to the sound discretion of the trial judge.” </w:t>
      </w:r>
      <w:r w:rsidRPr="00000D3A">
        <w:rPr>
          <w:i/>
        </w:rPr>
        <w:t>State v. Kennedy</w:t>
      </w:r>
      <w:r w:rsidRPr="00000D3A">
        <w:t>, KW 19-00496 (08/30/19) (Conery, J., concurring)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924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062F9"/>
    <w:multiLevelType w:val="multilevel"/>
    <w:tmpl w:val="5C220610"/>
    <w:lvl w:ilvl="0">
      <w:start w:val="1"/>
      <w:numFmt w:val="decimal"/>
      <w:pStyle w:val="Numberedparagraph"/>
      <w:lvlText w:val="%1)"/>
      <w:lvlJc w:val="left"/>
      <w:pPr>
        <w:tabs>
          <w:tab w:val="num" w:pos="360"/>
        </w:tabs>
        <w:ind w:left="0" w:firstLine="720"/>
      </w:pPr>
      <w:rPr>
        <w:rFonts w:hint="default"/>
      </w:rPr>
    </w:lvl>
    <w:lvl w:ilvl="1">
      <w:start w:val="1"/>
      <w:numFmt w:val="lowerLetter"/>
      <w:lvlText w:val="%2)"/>
      <w:lvlJc w:val="left"/>
      <w:pPr>
        <w:tabs>
          <w:tab w:val="num" w:pos="720"/>
        </w:tabs>
        <w:ind w:left="720" w:firstLine="720"/>
      </w:pPr>
      <w:rPr>
        <w:rFonts w:hint="default"/>
      </w:rPr>
    </w:lvl>
    <w:lvl w:ilvl="2">
      <w:start w:val="1"/>
      <w:numFmt w:val="lowerRoman"/>
      <w:lvlText w:val="%3)"/>
      <w:lvlJc w:val="left"/>
      <w:pPr>
        <w:tabs>
          <w:tab w:val="num" w:pos="1080"/>
        </w:tabs>
        <w:ind w:left="144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9C75647"/>
    <w:multiLevelType w:val="hybridMultilevel"/>
    <w:tmpl w:val="E5A6A304"/>
    <w:lvl w:ilvl="0" w:tplc="E732FBB6">
      <w:start w:val="1"/>
      <w:numFmt w:val="upperLetter"/>
      <w:lvlText w:val="%1."/>
      <w:lvlJc w:val="left"/>
      <w:pPr>
        <w:ind w:left="720" w:hanging="720"/>
      </w:pPr>
      <w:rPr>
        <w:rFonts w:ascii="Times New Roman" w:eastAsia="Times New Roman" w:hAnsi="Times New Roman" w:cs="Times New Roman"/>
      </w:rPr>
    </w:lvl>
    <w:lvl w:ilvl="1" w:tplc="542439C6">
      <w:start w:val="1"/>
      <w:numFmt w:val="upp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3A0472"/>
    <w:multiLevelType w:val="multilevel"/>
    <w:tmpl w:val="FBE2C5F8"/>
    <w:lvl w:ilvl="0">
      <w:start w:val="1"/>
      <w:numFmt w:val="decimal"/>
      <w:lvlText w:val="%1."/>
      <w:lvlJc w:val="left"/>
      <w:pPr>
        <w:tabs>
          <w:tab w:val="num" w:pos="360"/>
        </w:tabs>
        <w:ind w:left="360" w:hanging="36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11166F1"/>
    <w:multiLevelType w:val="multilevel"/>
    <w:tmpl w:val="FBE2C5F8"/>
    <w:lvl w:ilvl="0">
      <w:start w:val="1"/>
      <w:numFmt w:val="decimal"/>
      <w:lvlText w:val="%1."/>
      <w:lvlJc w:val="left"/>
      <w:pPr>
        <w:tabs>
          <w:tab w:val="num" w:pos="360"/>
        </w:tabs>
        <w:ind w:left="360" w:hanging="36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3B008F0"/>
    <w:multiLevelType w:val="multilevel"/>
    <w:tmpl w:val="01463F80"/>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65B1A67"/>
    <w:multiLevelType w:val="hybridMultilevel"/>
    <w:tmpl w:val="22242696"/>
    <w:lvl w:ilvl="0" w:tplc="A3B258C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3A5F5B"/>
    <w:multiLevelType w:val="hybridMultilevel"/>
    <w:tmpl w:val="C3169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817D4"/>
    <w:multiLevelType w:val="hybridMultilevel"/>
    <w:tmpl w:val="47923D5A"/>
    <w:lvl w:ilvl="0" w:tplc="0980D502">
      <w:start w:val="18"/>
      <w:numFmt w:val="decimal"/>
      <w:lvlText w:val="%1."/>
      <w:lvlJc w:val="left"/>
      <w:pPr>
        <w:tabs>
          <w:tab w:val="num" w:pos="1440"/>
        </w:tabs>
        <w:ind w:left="1440" w:hanging="720"/>
      </w:pPr>
      <w:rPr>
        <w:rFonts w:hint="default"/>
      </w:rPr>
    </w:lvl>
    <w:lvl w:ilvl="1" w:tplc="35B4AB40" w:tentative="1">
      <w:start w:val="1"/>
      <w:numFmt w:val="lowerLetter"/>
      <w:lvlText w:val="%2."/>
      <w:lvlJc w:val="left"/>
      <w:pPr>
        <w:tabs>
          <w:tab w:val="num" w:pos="1800"/>
        </w:tabs>
        <w:ind w:left="1800" w:hanging="360"/>
      </w:pPr>
    </w:lvl>
    <w:lvl w:ilvl="2" w:tplc="67DE325A" w:tentative="1">
      <w:start w:val="1"/>
      <w:numFmt w:val="lowerRoman"/>
      <w:lvlText w:val="%3."/>
      <w:lvlJc w:val="right"/>
      <w:pPr>
        <w:tabs>
          <w:tab w:val="num" w:pos="2520"/>
        </w:tabs>
        <w:ind w:left="2520" w:hanging="180"/>
      </w:pPr>
    </w:lvl>
    <w:lvl w:ilvl="3" w:tplc="FBC2F6B4" w:tentative="1">
      <w:start w:val="1"/>
      <w:numFmt w:val="decimal"/>
      <w:lvlText w:val="%4."/>
      <w:lvlJc w:val="left"/>
      <w:pPr>
        <w:tabs>
          <w:tab w:val="num" w:pos="3240"/>
        </w:tabs>
        <w:ind w:left="3240" w:hanging="360"/>
      </w:pPr>
    </w:lvl>
    <w:lvl w:ilvl="4" w:tplc="1DFE0FEE" w:tentative="1">
      <w:start w:val="1"/>
      <w:numFmt w:val="lowerLetter"/>
      <w:lvlText w:val="%5."/>
      <w:lvlJc w:val="left"/>
      <w:pPr>
        <w:tabs>
          <w:tab w:val="num" w:pos="3960"/>
        </w:tabs>
        <w:ind w:left="3960" w:hanging="360"/>
      </w:pPr>
    </w:lvl>
    <w:lvl w:ilvl="5" w:tplc="5F303392" w:tentative="1">
      <w:start w:val="1"/>
      <w:numFmt w:val="lowerRoman"/>
      <w:lvlText w:val="%6."/>
      <w:lvlJc w:val="right"/>
      <w:pPr>
        <w:tabs>
          <w:tab w:val="num" w:pos="4680"/>
        </w:tabs>
        <w:ind w:left="4680" w:hanging="180"/>
      </w:pPr>
    </w:lvl>
    <w:lvl w:ilvl="6" w:tplc="DC929162" w:tentative="1">
      <w:start w:val="1"/>
      <w:numFmt w:val="decimal"/>
      <w:lvlText w:val="%7."/>
      <w:lvlJc w:val="left"/>
      <w:pPr>
        <w:tabs>
          <w:tab w:val="num" w:pos="5400"/>
        </w:tabs>
        <w:ind w:left="5400" w:hanging="360"/>
      </w:pPr>
    </w:lvl>
    <w:lvl w:ilvl="7" w:tplc="D4A2C88C" w:tentative="1">
      <w:start w:val="1"/>
      <w:numFmt w:val="lowerLetter"/>
      <w:lvlText w:val="%8."/>
      <w:lvlJc w:val="left"/>
      <w:pPr>
        <w:tabs>
          <w:tab w:val="num" w:pos="6120"/>
        </w:tabs>
        <w:ind w:left="6120" w:hanging="360"/>
      </w:pPr>
    </w:lvl>
    <w:lvl w:ilvl="8" w:tplc="1878FFCA" w:tentative="1">
      <w:start w:val="1"/>
      <w:numFmt w:val="lowerRoman"/>
      <w:lvlText w:val="%9."/>
      <w:lvlJc w:val="right"/>
      <w:pPr>
        <w:tabs>
          <w:tab w:val="num" w:pos="6840"/>
        </w:tabs>
        <w:ind w:left="6840" w:hanging="180"/>
      </w:pPr>
    </w:lvl>
  </w:abstractNum>
  <w:abstractNum w:abstractNumId="9" w15:restartNumberingAfterBreak="0">
    <w:nsid w:val="2EFA6295"/>
    <w:multiLevelType w:val="hybridMultilevel"/>
    <w:tmpl w:val="22242696"/>
    <w:lvl w:ilvl="0" w:tplc="A3B258C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1A36E8"/>
    <w:multiLevelType w:val="hybridMultilevel"/>
    <w:tmpl w:val="90D4BB6E"/>
    <w:lvl w:ilvl="0" w:tplc="09BCB89E">
      <w:start w:val="1"/>
      <w:numFmt w:val="upperRoman"/>
      <w:lvlText w:val="%1."/>
      <w:lvlJc w:val="left"/>
      <w:pPr>
        <w:ind w:left="1080" w:hanging="720"/>
      </w:pPr>
      <w:rPr>
        <w:rFonts w:ascii="Times New Roman" w:eastAsia="Times New Roman" w:hAnsi="Times New Roman" w:cs="Times New Roman"/>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E402E"/>
    <w:multiLevelType w:val="hybridMultilevel"/>
    <w:tmpl w:val="ADBC9C8E"/>
    <w:lvl w:ilvl="0" w:tplc="5B7C1E6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6241C"/>
    <w:multiLevelType w:val="hybridMultilevel"/>
    <w:tmpl w:val="2080472A"/>
    <w:lvl w:ilvl="0" w:tplc="08CE2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33AAC"/>
    <w:multiLevelType w:val="multilevel"/>
    <w:tmpl w:val="528E904E"/>
    <w:lvl w:ilvl="0">
      <w:start w:val="1"/>
      <w:numFmt w:val="decimal"/>
      <w:lvlText w:val="%1."/>
      <w:lvlJc w:val="left"/>
      <w:pPr>
        <w:tabs>
          <w:tab w:val="num" w:pos="144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3EF16D9E"/>
    <w:multiLevelType w:val="hybridMultilevel"/>
    <w:tmpl w:val="00FE80DA"/>
    <w:lvl w:ilvl="0" w:tplc="A3B258C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B262D"/>
    <w:multiLevelType w:val="hybridMultilevel"/>
    <w:tmpl w:val="E7625556"/>
    <w:lvl w:ilvl="0" w:tplc="E0D4B2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4193F"/>
    <w:multiLevelType w:val="hybridMultilevel"/>
    <w:tmpl w:val="0D9C8072"/>
    <w:lvl w:ilvl="0" w:tplc="A3B258C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C802E0"/>
    <w:multiLevelType w:val="hybridMultilevel"/>
    <w:tmpl w:val="3D486B54"/>
    <w:lvl w:ilvl="0" w:tplc="5ABAFF14">
      <w:start w:val="2"/>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F5098"/>
    <w:multiLevelType w:val="multilevel"/>
    <w:tmpl w:val="35E025E2"/>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decimalZero"/>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9E15A64"/>
    <w:multiLevelType w:val="multilevel"/>
    <w:tmpl w:val="E86635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F034E90"/>
    <w:multiLevelType w:val="hybridMultilevel"/>
    <w:tmpl w:val="42703934"/>
    <w:lvl w:ilvl="0" w:tplc="3BB01974">
      <w:start w:val="1"/>
      <w:numFmt w:val="decimal"/>
      <w:lvlText w:val="%1."/>
      <w:lvlJc w:val="left"/>
      <w:pPr>
        <w:tabs>
          <w:tab w:val="num" w:pos="1152"/>
        </w:tabs>
        <w:ind w:left="0" w:firstLine="720"/>
      </w:pPr>
      <w:rPr>
        <w:rFonts w:hint="default"/>
      </w:rPr>
    </w:lvl>
    <w:lvl w:ilvl="1" w:tplc="D898E760">
      <w:start w:val="1"/>
      <w:numFmt w:val="lowerLetter"/>
      <w:lvlText w:val="%2)"/>
      <w:lvlJc w:val="left"/>
      <w:pPr>
        <w:tabs>
          <w:tab w:val="num" w:pos="2160"/>
        </w:tabs>
        <w:ind w:left="2160" w:hanging="360"/>
      </w:pPr>
    </w:lvl>
    <w:lvl w:ilvl="2" w:tplc="F6F84BCE" w:tentative="1">
      <w:start w:val="1"/>
      <w:numFmt w:val="lowerRoman"/>
      <w:lvlText w:val="%3."/>
      <w:lvlJc w:val="right"/>
      <w:pPr>
        <w:tabs>
          <w:tab w:val="num" w:pos="2880"/>
        </w:tabs>
        <w:ind w:left="2880" w:hanging="180"/>
      </w:pPr>
    </w:lvl>
    <w:lvl w:ilvl="3" w:tplc="A0D6DA4E" w:tentative="1">
      <w:start w:val="1"/>
      <w:numFmt w:val="decimal"/>
      <w:lvlText w:val="%4."/>
      <w:lvlJc w:val="left"/>
      <w:pPr>
        <w:tabs>
          <w:tab w:val="num" w:pos="3600"/>
        </w:tabs>
        <w:ind w:left="3600" w:hanging="360"/>
      </w:pPr>
    </w:lvl>
    <w:lvl w:ilvl="4" w:tplc="9092D884" w:tentative="1">
      <w:start w:val="1"/>
      <w:numFmt w:val="lowerLetter"/>
      <w:lvlText w:val="%5."/>
      <w:lvlJc w:val="left"/>
      <w:pPr>
        <w:tabs>
          <w:tab w:val="num" w:pos="4320"/>
        </w:tabs>
        <w:ind w:left="4320" w:hanging="360"/>
      </w:pPr>
    </w:lvl>
    <w:lvl w:ilvl="5" w:tplc="F72294B2" w:tentative="1">
      <w:start w:val="1"/>
      <w:numFmt w:val="lowerRoman"/>
      <w:lvlText w:val="%6."/>
      <w:lvlJc w:val="right"/>
      <w:pPr>
        <w:tabs>
          <w:tab w:val="num" w:pos="5040"/>
        </w:tabs>
        <w:ind w:left="5040" w:hanging="180"/>
      </w:pPr>
    </w:lvl>
    <w:lvl w:ilvl="6" w:tplc="F07AFE3C" w:tentative="1">
      <w:start w:val="1"/>
      <w:numFmt w:val="decimal"/>
      <w:lvlText w:val="%7."/>
      <w:lvlJc w:val="left"/>
      <w:pPr>
        <w:tabs>
          <w:tab w:val="num" w:pos="5760"/>
        </w:tabs>
        <w:ind w:left="5760" w:hanging="360"/>
      </w:pPr>
    </w:lvl>
    <w:lvl w:ilvl="7" w:tplc="CA90AB6C" w:tentative="1">
      <w:start w:val="1"/>
      <w:numFmt w:val="lowerLetter"/>
      <w:lvlText w:val="%8."/>
      <w:lvlJc w:val="left"/>
      <w:pPr>
        <w:tabs>
          <w:tab w:val="num" w:pos="6480"/>
        </w:tabs>
        <w:ind w:left="6480" w:hanging="360"/>
      </w:pPr>
    </w:lvl>
    <w:lvl w:ilvl="8" w:tplc="EC3A2AF2" w:tentative="1">
      <w:start w:val="1"/>
      <w:numFmt w:val="lowerRoman"/>
      <w:lvlText w:val="%9."/>
      <w:lvlJc w:val="right"/>
      <w:pPr>
        <w:tabs>
          <w:tab w:val="num" w:pos="7200"/>
        </w:tabs>
        <w:ind w:left="7200" w:hanging="180"/>
      </w:pPr>
    </w:lvl>
  </w:abstractNum>
  <w:abstractNum w:abstractNumId="21" w15:restartNumberingAfterBreak="0">
    <w:nsid w:val="643F01B5"/>
    <w:multiLevelType w:val="hybridMultilevel"/>
    <w:tmpl w:val="4F087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02092"/>
    <w:multiLevelType w:val="hybridMultilevel"/>
    <w:tmpl w:val="7C069066"/>
    <w:lvl w:ilvl="0" w:tplc="04090013">
      <w:start w:val="1"/>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4916C9"/>
    <w:multiLevelType w:val="hybridMultilevel"/>
    <w:tmpl w:val="B106E3FE"/>
    <w:lvl w:ilvl="0" w:tplc="8B1675D0">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61575B"/>
    <w:multiLevelType w:val="hybridMultilevel"/>
    <w:tmpl w:val="14822E52"/>
    <w:lvl w:ilvl="0" w:tplc="117E741A">
      <w:start w:val="1"/>
      <w:numFmt w:val="decimal"/>
      <w:lvlText w:val="%1."/>
      <w:lvlJc w:val="left"/>
      <w:pPr>
        <w:tabs>
          <w:tab w:val="num" w:pos="1440"/>
        </w:tabs>
        <w:ind w:left="1080" w:hanging="360"/>
      </w:pPr>
      <w:rPr>
        <w:rFonts w:hint="default"/>
      </w:rPr>
    </w:lvl>
    <w:lvl w:ilvl="1" w:tplc="827EC244" w:tentative="1">
      <w:start w:val="1"/>
      <w:numFmt w:val="lowerLetter"/>
      <w:lvlText w:val="%2."/>
      <w:lvlJc w:val="left"/>
      <w:pPr>
        <w:tabs>
          <w:tab w:val="num" w:pos="2160"/>
        </w:tabs>
        <w:ind w:left="2160" w:hanging="360"/>
      </w:pPr>
    </w:lvl>
    <w:lvl w:ilvl="2" w:tplc="5FD04B3C" w:tentative="1">
      <w:start w:val="1"/>
      <w:numFmt w:val="lowerRoman"/>
      <w:lvlText w:val="%3."/>
      <w:lvlJc w:val="right"/>
      <w:pPr>
        <w:tabs>
          <w:tab w:val="num" w:pos="2880"/>
        </w:tabs>
        <w:ind w:left="2880" w:hanging="180"/>
      </w:pPr>
    </w:lvl>
    <w:lvl w:ilvl="3" w:tplc="CD0021AC" w:tentative="1">
      <w:start w:val="1"/>
      <w:numFmt w:val="decimal"/>
      <w:lvlText w:val="%4."/>
      <w:lvlJc w:val="left"/>
      <w:pPr>
        <w:tabs>
          <w:tab w:val="num" w:pos="3600"/>
        </w:tabs>
        <w:ind w:left="3600" w:hanging="360"/>
      </w:pPr>
    </w:lvl>
    <w:lvl w:ilvl="4" w:tplc="0D44556A" w:tentative="1">
      <w:start w:val="1"/>
      <w:numFmt w:val="lowerLetter"/>
      <w:lvlText w:val="%5."/>
      <w:lvlJc w:val="left"/>
      <w:pPr>
        <w:tabs>
          <w:tab w:val="num" w:pos="4320"/>
        </w:tabs>
        <w:ind w:left="4320" w:hanging="360"/>
      </w:pPr>
    </w:lvl>
    <w:lvl w:ilvl="5" w:tplc="1FF0BAC2" w:tentative="1">
      <w:start w:val="1"/>
      <w:numFmt w:val="lowerRoman"/>
      <w:lvlText w:val="%6."/>
      <w:lvlJc w:val="right"/>
      <w:pPr>
        <w:tabs>
          <w:tab w:val="num" w:pos="5040"/>
        </w:tabs>
        <w:ind w:left="5040" w:hanging="180"/>
      </w:pPr>
    </w:lvl>
    <w:lvl w:ilvl="6" w:tplc="1A384582" w:tentative="1">
      <w:start w:val="1"/>
      <w:numFmt w:val="decimal"/>
      <w:lvlText w:val="%7."/>
      <w:lvlJc w:val="left"/>
      <w:pPr>
        <w:tabs>
          <w:tab w:val="num" w:pos="5760"/>
        </w:tabs>
        <w:ind w:left="5760" w:hanging="360"/>
      </w:pPr>
    </w:lvl>
    <w:lvl w:ilvl="7" w:tplc="FB94EB7A" w:tentative="1">
      <w:start w:val="1"/>
      <w:numFmt w:val="lowerLetter"/>
      <w:lvlText w:val="%8."/>
      <w:lvlJc w:val="left"/>
      <w:pPr>
        <w:tabs>
          <w:tab w:val="num" w:pos="6480"/>
        </w:tabs>
        <w:ind w:left="6480" w:hanging="360"/>
      </w:pPr>
    </w:lvl>
    <w:lvl w:ilvl="8" w:tplc="5C104366" w:tentative="1">
      <w:start w:val="1"/>
      <w:numFmt w:val="lowerRoman"/>
      <w:lvlText w:val="%9."/>
      <w:lvlJc w:val="right"/>
      <w:pPr>
        <w:tabs>
          <w:tab w:val="num" w:pos="7200"/>
        </w:tabs>
        <w:ind w:left="7200" w:hanging="180"/>
      </w:pPr>
    </w:lvl>
  </w:abstractNum>
  <w:abstractNum w:abstractNumId="25" w15:restartNumberingAfterBreak="0">
    <w:nsid w:val="7E1D61CD"/>
    <w:multiLevelType w:val="hybridMultilevel"/>
    <w:tmpl w:val="220C769A"/>
    <w:lvl w:ilvl="0" w:tplc="7B20D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20"/>
  </w:num>
  <w:num w:numId="4">
    <w:abstractNumId w:val="13"/>
  </w:num>
  <w:num w:numId="5">
    <w:abstractNumId w:val="8"/>
  </w:num>
  <w:num w:numId="6">
    <w:abstractNumId w:val="4"/>
  </w:num>
  <w:num w:numId="7">
    <w:abstractNumId w:val="21"/>
  </w:num>
  <w:num w:numId="8">
    <w:abstractNumId w:val="19"/>
  </w:num>
  <w:num w:numId="9">
    <w:abstractNumId w:val="1"/>
  </w:num>
  <w:num w:numId="10">
    <w:abstractNumId w:val="18"/>
  </w:num>
  <w:num w:numId="11">
    <w:abstractNumId w:val="16"/>
  </w:num>
  <w:num w:numId="12">
    <w:abstractNumId w:val="3"/>
  </w:num>
  <w:num w:numId="13">
    <w:abstractNumId w:val="14"/>
  </w:num>
  <w:num w:numId="14">
    <w:abstractNumId w:val="6"/>
  </w:num>
  <w:num w:numId="15">
    <w:abstractNumId w:val="0"/>
  </w:num>
  <w:num w:numId="16">
    <w:abstractNumId w:val="9"/>
  </w:num>
  <w:num w:numId="17">
    <w:abstractNumId w:val="11"/>
  </w:num>
  <w:num w:numId="18">
    <w:abstractNumId w:val="15"/>
  </w:num>
  <w:num w:numId="19">
    <w:abstractNumId w:val="23"/>
  </w:num>
  <w:num w:numId="20">
    <w:abstractNumId w:val="2"/>
  </w:num>
  <w:num w:numId="21">
    <w:abstractNumId w:val="10"/>
  </w:num>
  <w:num w:numId="22">
    <w:abstractNumId w:val="22"/>
  </w:num>
  <w:num w:numId="23">
    <w:abstractNumId w:val="25"/>
  </w:num>
  <w:num w:numId="24">
    <w:abstractNumId w:val="12"/>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C"/>
    <w:rsid w:val="00000D3A"/>
    <w:rsid w:val="0000173E"/>
    <w:rsid w:val="00001C93"/>
    <w:rsid w:val="00002866"/>
    <w:rsid w:val="00003B1B"/>
    <w:rsid w:val="00005C74"/>
    <w:rsid w:val="0000722C"/>
    <w:rsid w:val="00007B9B"/>
    <w:rsid w:val="00017495"/>
    <w:rsid w:val="000179FD"/>
    <w:rsid w:val="000240B7"/>
    <w:rsid w:val="00031FF3"/>
    <w:rsid w:val="00035AAF"/>
    <w:rsid w:val="00040411"/>
    <w:rsid w:val="00040C71"/>
    <w:rsid w:val="000449A4"/>
    <w:rsid w:val="000452A9"/>
    <w:rsid w:val="00047032"/>
    <w:rsid w:val="000546FD"/>
    <w:rsid w:val="000553E3"/>
    <w:rsid w:val="0005784D"/>
    <w:rsid w:val="0006094E"/>
    <w:rsid w:val="000610B8"/>
    <w:rsid w:val="00061C03"/>
    <w:rsid w:val="00062AFB"/>
    <w:rsid w:val="00066085"/>
    <w:rsid w:val="00066366"/>
    <w:rsid w:val="00066A8F"/>
    <w:rsid w:val="000716C1"/>
    <w:rsid w:val="000726DA"/>
    <w:rsid w:val="00073E0C"/>
    <w:rsid w:val="000741BC"/>
    <w:rsid w:val="00074836"/>
    <w:rsid w:val="00082097"/>
    <w:rsid w:val="00084DE0"/>
    <w:rsid w:val="000852C8"/>
    <w:rsid w:val="00091FFC"/>
    <w:rsid w:val="00093E1C"/>
    <w:rsid w:val="00094480"/>
    <w:rsid w:val="00097C22"/>
    <w:rsid w:val="000A0296"/>
    <w:rsid w:val="000A4DCC"/>
    <w:rsid w:val="000B3FDF"/>
    <w:rsid w:val="000B4061"/>
    <w:rsid w:val="000B49BD"/>
    <w:rsid w:val="000B5538"/>
    <w:rsid w:val="000B6B84"/>
    <w:rsid w:val="000C5926"/>
    <w:rsid w:val="000C7912"/>
    <w:rsid w:val="000D0008"/>
    <w:rsid w:val="000D0231"/>
    <w:rsid w:val="000D2630"/>
    <w:rsid w:val="000D2C53"/>
    <w:rsid w:val="000D423F"/>
    <w:rsid w:val="000D69C1"/>
    <w:rsid w:val="000E3275"/>
    <w:rsid w:val="000E3B7E"/>
    <w:rsid w:val="000E56FF"/>
    <w:rsid w:val="000E7513"/>
    <w:rsid w:val="000E7A6C"/>
    <w:rsid w:val="000F2778"/>
    <w:rsid w:val="000F31A0"/>
    <w:rsid w:val="0010176F"/>
    <w:rsid w:val="001039DE"/>
    <w:rsid w:val="00104B51"/>
    <w:rsid w:val="0010635C"/>
    <w:rsid w:val="00110320"/>
    <w:rsid w:val="00116D92"/>
    <w:rsid w:val="00120D28"/>
    <w:rsid w:val="001232EA"/>
    <w:rsid w:val="00124511"/>
    <w:rsid w:val="00125758"/>
    <w:rsid w:val="00126CEC"/>
    <w:rsid w:val="001378A5"/>
    <w:rsid w:val="00142C35"/>
    <w:rsid w:val="00143E44"/>
    <w:rsid w:val="00143F6D"/>
    <w:rsid w:val="00145BD3"/>
    <w:rsid w:val="0014795B"/>
    <w:rsid w:val="00147EC6"/>
    <w:rsid w:val="0015630A"/>
    <w:rsid w:val="001606D9"/>
    <w:rsid w:val="00160E17"/>
    <w:rsid w:val="00171430"/>
    <w:rsid w:val="001732E0"/>
    <w:rsid w:val="00174D73"/>
    <w:rsid w:val="001754FE"/>
    <w:rsid w:val="00175D1E"/>
    <w:rsid w:val="001800B7"/>
    <w:rsid w:val="001803F0"/>
    <w:rsid w:val="00181C7E"/>
    <w:rsid w:val="00185104"/>
    <w:rsid w:val="00187718"/>
    <w:rsid w:val="00187CB5"/>
    <w:rsid w:val="001902B5"/>
    <w:rsid w:val="001933A7"/>
    <w:rsid w:val="00194EDE"/>
    <w:rsid w:val="0019654F"/>
    <w:rsid w:val="001A090C"/>
    <w:rsid w:val="001A4B1D"/>
    <w:rsid w:val="001A623F"/>
    <w:rsid w:val="001B1007"/>
    <w:rsid w:val="001B6DF3"/>
    <w:rsid w:val="001B6E0D"/>
    <w:rsid w:val="001C2D8B"/>
    <w:rsid w:val="001C4140"/>
    <w:rsid w:val="001C5B44"/>
    <w:rsid w:val="001D2699"/>
    <w:rsid w:val="001D3814"/>
    <w:rsid w:val="001D3A55"/>
    <w:rsid w:val="001D3AF9"/>
    <w:rsid w:val="001D5A26"/>
    <w:rsid w:val="001D7BC4"/>
    <w:rsid w:val="001D7E45"/>
    <w:rsid w:val="001E1D21"/>
    <w:rsid w:val="001E2A7F"/>
    <w:rsid w:val="001E2BF0"/>
    <w:rsid w:val="001E590E"/>
    <w:rsid w:val="001E660A"/>
    <w:rsid w:val="001F0D42"/>
    <w:rsid w:val="00201DF9"/>
    <w:rsid w:val="0020540C"/>
    <w:rsid w:val="00206A8B"/>
    <w:rsid w:val="002113A9"/>
    <w:rsid w:val="00213736"/>
    <w:rsid w:val="00213900"/>
    <w:rsid w:val="002167A8"/>
    <w:rsid w:val="00216DF3"/>
    <w:rsid w:val="00220776"/>
    <w:rsid w:val="00224643"/>
    <w:rsid w:val="00224834"/>
    <w:rsid w:val="00225928"/>
    <w:rsid w:val="00226502"/>
    <w:rsid w:val="0023048D"/>
    <w:rsid w:val="002319BA"/>
    <w:rsid w:val="00231A38"/>
    <w:rsid w:val="00243E28"/>
    <w:rsid w:val="00244B8E"/>
    <w:rsid w:val="00246033"/>
    <w:rsid w:val="00246F41"/>
    <w:rsid w:val="00247169"/>
    <w:rsid w:val="0025221E"/>
    <w:rsid w:val="002532B1"/>
    <w:rsid w:val="00255E0B"/>
    <w:rsid w:val="0025641C"/>
    <w:rsid w:val="00260B3A"/>
    <w:rsid w:val="00263197"/>
    <w:rsid w:val="00266253"/>
    <w:rsid w:val="00271112"/>
    <w:rsid w:val="00272FAF"/>
    <w:rsid w:val="0027392C"/>
    <w:rsid w:val="00282DE8"/>
    <w:rsid w:val="00284CD4"/>
    <w:rsid w:val="00286860"/>
    <w:rsid w:val="002869BE"/>
    <w:rsid w:val="00286EFF"/>
    <w:rsid w:val="002904CF"/>
    <w:rsid w:val="002934D4"/>
    <w:rsid w:val="00296F40"/>
    <w:rsid w:val="002A5186"/>
    <w:rsid w:val="002A702F"/>
    <w:rsid w:val="002A71DE"/>
    <w:rsid w:val="002B579A"/>
    <w:rsid w:val="002B5B03"/>
    <w:rsid w:val="002C153B"/>
    <w:rsid w:val="002C17A2"/>
    <w:rsid w:val="002C1C1A"/>
    <w:rsid w:val="002C4915"/>
    <w:rsid w:val="002C554A"/>
    <w:rsid w:val="002C570C"/>
    <w:rsid w:val="002C71EF"/>
    <w:rsid w:val="002C743C"/>
    <w:rsid w:val="002C7BFB"/>
    <w:rsid w:val="002D0246"/>
    <w:rsid w:val="002D0EF9"/>
    <w:rsid w:val="002D26A5"/>
    <w:rsid w:val="002D2DFA"/>
    <w:rsid w:val="002E0A00"/>
    <w:rsid w:val="002E107D"/>
    <w:rsid w:val="002E1ABA"/>
    <w:rsid w:val="002E272F"/>
    <w:rsid w:val="002E2EF0"/>
    <w:rsid w:val="002E4BD3"/>
    <w:rsid w:val="002E5898"/>
    <w:rsid w:val="002E659A"/>
    <w:rsid w:val="002F45CF"/>
    <w:rsid w:val="002F5E44"/>
    <w:rsid w:val="002F7C8E"/>
    <w:rsid w:val="003004AB"/>
    <w:rsid w:val="003007AE"/>
    <w:rsid w:val="0030444C"/>
    <w:rsid w:val="0030725B"/>
    <w:rsid w:val="0031018C"/>
    <w:rsid w:val="00316823"/>
    <w:rsid w:val="00317BBF"/>
    <w:rsid w:val="00321E45"/>
    <w:rsid w:val="00327557"/>
    <w:rsid w:val="003309EE"/>
    <w:rsid w:val="00331895"/>
    <w:rsid w:val="00341705"/>
    <w:rsid w:val="00351285"/>
    <w:rsid w:val="003522BD"/>
    <w:rsid w:val="00356F07"/>
    <w:rsid w:val="003602C2"/>
    <w:rsid w:val="00361250"/>
    <w:rsid w:val="00364AEF"/>
    <w:rsid w:val="0036755F"/>
    <w:rsid w:val="003676FA"/>
    <w:rsid w:val="00367CFB"/>
    <w:rsid w:val="003704AE"/>
    <w:rsid w:val="00370C4B"/>
    <w:rsid w:val="00371E19"/>
    <w:rsid w:val="003739FD"/>
    <w:rsid w:val="00375770"/>
    <w:rsid w:val="00377F6E"/>
    <w:rsid w:val="003804A5"/>
    <w:rsid w:val="003812C0"/>
    <w:rsid w:val="00386A09"/>
    <w:rsid w:val="003933A9"/>
    <w:rsid w:val="003961CF"/>
    <w:rsid w:val="003A11E0"/>
    <w:rsid w:val="003A2207"/>
    <w:rsid w:val="003A2B01"/>
    <w:rsid w:val="003A514B"/>
    <w:rsid w:val="003A530F"/>
    <w:rsid w:val="003A5EA3"/>
    <w:rsid w:val="003A6772"/>
    <w:rsid w:val="003A747E"/>
    <w:rsid w:val="003B0B41"/>
    <w:rsid w:val="003B11DC"/>
    <w:rsid w:val="003B1521"/>
    <w:rsid w:val="003B38A9"/>
    <w:rsid w:val="003B38E7"/>
    <w:rsid w:val="003B5895"/>
    <w:rsid w:val="003C1B28"/>
    <w:rsid w:val="003C2100"/>
    <w:rsid w:val="003C2ED8"/>
    <w:rsid w:val="003C70EA"/>
    <w:rsid w:val="003C7DAA"/>
    <w:rsid w:val="003D0C6F"/>
    <w:rsid w:val="003D12BB"/>
    <w:rsid w:val="003D437A"/>
    <w:rsid w:val="003D5A75"/>
    <w:rsid w:val="003D5DFC"/>
    <w:rsid w:val="003E04E3"/>
    <w:rsid w:val="003E2C21"/>
    <w:rsid w:val="003E45E5"/>
    <w:rsid w:val="003E5220"/>
    <w:rsid w:val="003E5259"/>
    <w:rsid w:val="003E5314"/>
    <w:rsid w:val="003E7E21"/>
    <w:rsid w:val="003F73AE"/>
    <w:rsid w:val="0040067F"/>
    <w:rsid w:val="00404207"/>
    <w:rsid w:val="00405FDD"/>
    <w:rsid w:val="00410748"/>
    <w:rsid w:val="00412B16"/>
    <w:rsid w:val="004134D8"/>
    <w:rsid w:val="0041434E"/>
    <w:rsid w:val="00424417"/>
    <w:rsid w:val="004246CB"/>
    <w:rsid w:val="00424E52"/>
    <w:rsid w:val="00427021"/>
    <w:rsid w:val="00430E1B"/>
    <w:rsid w:val="00434C27"/>
    <w:rsid w:val="0043541F"/>
    <w:rsid w:val="004370EF"/>
    <w:rsid w:val="00440749"/>
    <w:rsid w:val="0044320A"/>
    <w:rsid w:val="004453BE"/>
    <w:rsid w:val="004459C5"/>
    <w:rsid w:val="00446031"/>
    <w:rsid w:val="00446508"/>
    <w:rsid w:val="0045021A"/>
    <w:rsid w:val="00461748"/>
    <w:rsid w:val="00462196"/>
    <w:rsid w:val="0046506A"/>
    <w:rsid w:val="00466E83"/>
    <w:rsid w:val="00471B42"/>
    <w:rsid w:val="004737C9"/>
    <w:rsid w:val="00475701"/>
    <w:rsid w:val="00476384"/>
    <w:rsid w:val="004771BE"/>
    <w:rsid w:val="00483C14"/>
    <w:rsid w:val="00486865"/>
    <w:rsid w:val="0048746B"/>
    <w:rsid w:val="004945B4"/>
    <w:rsid w:val="00495719"/>
    <w:rsid w:val="00495E48"/>
    <w:rsid w:val="00497665"/>
    <w:rsid w:val="00497C4A"/>
    <w:rsid w:val="004A3432"/>
    <w:rsid w:val="004A4BFB"/>
    <w:rsid w:val="004A562C"/>
    <w:rsid w:val="004A5E68"/>
    <w:rsid w:val="004B097A"/>
    <w:rsid w:val="004B2167"/>
    <w:rsid w:val="004B34F1"/>
    <w:rsid w:val="004B3871"/>
    <w:rsid w:val="004B683D"/>
    <w:rsid w:val="004C6AA1"/>
    <w:rsid w:val="004D13E1"/>
    <w:rsid w:val="004D4A7A"/>
    <w:rsid w:val="004D4B70"/>
    <w:rsid w:val="004D5B12"/>
    <w:rsid w:val="004E1B12"/>
    <w:rsid w:val="004E2488"/>
    <w:rsid w:val="004E4940"/>
    <w:rsid w:val="004E6C90"/>
    <w:rsid w:val="004E7FEF"/>
    <w:rsid w:val="004F29EC"/>
    <w:rsid w:val="004F2E32"/>
    <w:rsid w:val="004F3B34"/>
    <w:rsid w:val="004F3C3E"/>
    <w:rsid w:val="004F64BF"/>
    <w:rsid w:val="004F6E2B"/>
    <w:rsid w:val="00501D44"/>
    <w:rsid w:val="005023A7"/>
    <w:rsid w:val="00503826"/>
    <w:rsid w:val="005053D3"/>
    <w:rsid w:val="00507366"/>
    <w:rsid w:val="005118F4"/>
    <w:rsid w:val="0051612D"/>
    <w:rsid w:val="00517AD6"/>
    <w:rsid w:val="00533982"/>
    <w:rsid w:val="005365B8"/>
    <w:rsid w:val="0053676B"/>
    <w:rsid w:val="00545F77"/>
    <w:rsid w:val="00552412"/>
    <w:rsid w:val="00554A66"/>
    <w:rsid w:val="00554EA5"/>
    <w:rsid w:val="00555D5E"/>
    <w:rsid w:val="00556318"/>
    <w:rsid w:val="0056318E"/>
    <w:rsid w:val="005705CE"/>
    <w:rsid w:val="00573AF2"/>
    <w:rsid w:val="00574A6F"/>
    <w:rsid w:val="005820FD"/>
    <w:rsid w:val="00586D51"/>
    <w:rsid w:val="00591F18"/>
    <w:rsid w:val="00592E99"/>
    <w:rsid w:val="0059782F"/>
    <w:rsid w:val="005A35E1"/>
    <w:rsid w:val="005B5AE0"/>
    <w:rsid w:val="005B7049"/>
    <w:rsid w:val="005C0A53"/>
    <w:rsid w:val="005C1AE7"/>
    <w:rsid w:val="005C2423"/>
    <w:rsid w:val="005C3E6F"/>
    <w:rsid w:val="005C6CA8"/>
    <w:rsid w:val="005C6DAC"/>
    <w:rsid w:val="005D011A"/>
    <w:rsid w:val="005D1395"/>
    <w:rsid w:val="005D1F72"/>
    <w:rsid w:val="005D3714"/>
    <w:rsid w:val="005D4E5C"/>
    <w:rsid w:val="005E289C"/>
    <w:rsid w:val="005E7059"/>
    <w:rsid w:val="005E714A"/>
    <w:rsid w:val="005F0FBD"/>
    <w:rsid w:val="005F29F9"/>
    <w:rsid w:val="005F52A3"/>
    <w:rsid w:val="005F6A3C"/>
    <w:rsid w:val="00600254"/>
    <w:rsid w:val="00606315"/>
    <w:rsid w:val="0061370F"/>
    <w:rsid w:val="006143F6"/>
    <w:rsid w:val="0061551F"/>
    <w:rsid w:val="00620B5F"/>
    <w:rsid w:val="006252DD"/>
    <w:rsid w:val="006268C8"/>
    <w:rsid w:val="0062708D"/>
    <w:rsid w:val="00627722"/>
    <w:rsid w:val="00627C4E"/>
    <w:rsid w:val="0063116A"/>
    <w:rsid w:val="00631B70"/>
    <w:rsid w:val="00632AE3"/>
    <w:rsid w:val="00632EBF"/>
    <w:rsid w:val="00635CC7"/>
    <w:rsid w:val="006436FF"/>
    <w:rsid w:val="006439A5"/>
    <w:rsid w:val="006454FD"/>
    <w:rsid w:val="006457D4"/>
    <w:rsid w:val="006457F5"/>
    <w:rsid w:val="0064662D"/>
    <w:rsid w:val="006516BF"/>
    <w:rsid w:val="0065209F"/>
    <w:rsid w:val="00652602"/>
    <w:rsid w:val="00652B54"/>
    <w:rsid w:val="00652CFF"/>
    <w:rsid w:val="00653970"/>
    <w:rsid w:val="006625C1"/>
    <w:rsid w:val="00665143"/>
    <w:rsid w:val="00666D70"/>
    <w:rsid w:val="0067064C"/>
    <w:rsid w:val="006721AD"/>
    <w:rsid w:val="0067246E"/>
    <w:rsid w:val="006741F4"/>
    <w:rsid w:val="00675350"/>
    <w:rsid w:val="006761F2"/>
    <w:rsid w:val="006825DD"/>
    <w:rsid w:val="00682A3E"/>
    <w:rsid w:val="00684089"/>
    <w:rsid w:val="00686AB3"/>
    <w:rsid w:val="006917A5"/>
    <w:rsid w:val="00691B06"/>
    <w:rsid w:val="006945BC"/>
    <w:rsid w:val="00695D6D"/>
    <w:rsid w:val="006967A5"/>
    <w:rsid w:val="006A10EC"/>
    <w:rsid w:val="006A2931"/>
    <w:rsid w:val="006A6D69"/>
    <w:rsid w:val="006B091E"/>
    <w:rsid w:val="006B1AF1"/>
    <w:rsid w:val="006B2DBD"/>
    <w:rsid w:val="006B476C"/>
    <w:rsid w:val="006B5806"/>
    <w:rsid w:val="006B6993"/>
    <w:rsid w:val="006B7CA9"/>
    <w:rsid w:val="006C1E27"/>
    <w:rsid w:val="006C3BCC"/>
    <w:rsid w:val="006C6B98"/>
    <w:rsid w:val="006D3485"/>
    <w:rsid w:val="006D34D6"/>
    <w:rsid w:val="006D7090"/>
    <w:rsid w:val="006D726E"/>
    <w:rsid w:val="006E7446"/>
    <w:rsid w:val="006F2828"/>
    <w:rsid w:val="006F3053"/>
    <w:rsid w:val="006F48BD"/>
    <w:rsid w:val="006F4AB2"/>
    <w:rsid w:val="006F72A3"/>
    <w:rsid w:val="0070647F"/>
    <w:rsid w:val="007100FE"/>
    <w:rsid w:val="00711F65"/>
    <w:rsid w:val="00712310"/>
    <w:rsid w:val="00714979"/>
    <w:rsid w:val="007176C9"/>
    <w:rsid w:val="007217D3"/>
    <w:rsid w:val="00723D80"/>
    <w:rsid w:val="007268F3"/>
    <w:rsid w:val="00730D9A"/>
    <w:rsid w:val="00735AA4"/>
    <w:rsid w:val="00736637"/>
    <w:rsid w:val="00736ED8"/>
    <w:rsid w:val="00737A7A"/>
    <w:rsid w:val="00741995"/>
    <w:rsid w:val="00741C2B"/>
    <w:rsid w:val="00742D4E"/>
    <w:rsid w:val="00743A16"/>
    <w:rsid w:val="00750342"/>
    <w:rsid w:val="007522DC"/>
    <w:rsid w:val="0075580A"/>
    <w:rsid w:val="00755D63"/>
    <w:rsid w:val="007563F6"/>
    <w:rsid w:val="00756D07"/>
    <w:rsid w:val="00764567"/>
    <w:rsid w:val="00764B42"/>
    <w:rsid w:val="007774FC"/>
    <w:rsid w:val="00777D7F"/>
    <w:rsid w:val="007805F4"/>
    <w:rsid w:val="00780F25"/>
    <w:rsid w:val="00782AC4"/>
    <w:rsid w:val="00782B17"/>
    <w:rsid w:val="00793323"/>
    <w:rsid w:val="0079520B"/>
    <w:rsid w:val="00796563"/>
    <w:rsid w:val="007A09E5"/>
    <w:rsid w:val="007A1BEE"/>
    <w:rsid w:val="007A5839"/>
    <w:rsid w:val="007B0CD2"/>
    <w:rsid w:val="007B2F11"/>
    <w:rsid w:val="007B45C6"/>
    <w:rsid w:val="007B4EEA"/>
    <w:rsid w:val="007B7213"/>
    <w:rsid w:val="007B7473"/>
    <w:rsid w:val="007C02A7"/>
    <w:rsid w:val="007C070C"/>
    <w:rsid w:val="007C190E"/>
    <w:rsid w:val="007D03D8"/>
    <w:rsid w:val="007D1275"/>
    <w:rsid w:val="007D1407"/>
    <w:rsid w:val="007D636E"/>
    <w:rsid w:val="007E6D63"/>
    <w:rsid w:val="007F1ED8"/>
    <w:rsid w:val="007F1F81"/>
    <w:rsid w:val="007F24C8"/>
    <w:rsid w:val="007F4421"/>
    <w:rsid w:val="007F4E9B"/>
    <w:rsid w:val="007F50CA"/>
    <w:rsid w:val="007F7112"/>
    <w:rsid w:val="007F7DB6"/>
    <w:rsid w:val="00802CFF"/>
    <w:rsid w:val="00802E42"/>
    <w:rsid w:val="00802F18"/>
    <w:rsid w:val="00807F69"/>
    <w:rsid w:val="00810BD6"/>
    <w:rsid w:val="00813CFD"/>
    <w:rsid w:val="008164EA"/>
    <w:rsid w:val="0082082E"/>
    <w:rsid w:val="00820ED5"/>
    <w:rsid w:val="00822F96"/>
    <w:rsid w:val="008231DE"/>
    <w:rsid w:val="008233F3"/>
    <w:rsid w:val="00830899"/>
    <w:rsid w:val="00830ABF"/>
    <w:rsid w:val="00832A61"/>
    <w:rsid w:val="008352F3"/>
    <w:rsid w:val="00835EA4"/>
    <w:rsid w:val="00842336"/>
    <w:rsid w:val="0084294B"/>
    <w:rsid w:val="00843AD2"/>
    <w:rsid w:val="00844F27"/>
    <w:rsid w:val="008465AD"/>
    <w:rsid w:val="00846B4E"/>
    <w:rsid w:val="00851E78"/>
    <w:rsid w:val="00852452"/>
    <w:rsid w:val="00855E34"/>
    <w:rsid w:val="008562AB"/>
    <w:rsid w:val="00860540"/>
    <w:rsid w:val="00861593"/>
    <w:rsid w:val="00862707"/>
    <w:rsid w:val="0086283A"/>
    <w:rsid w:val="00862CE4"/>
    <w:rsid w:val="008649F3"/>
    <w:rsid w:val="00865708"/>
    <w:rsid w:val="00866660"/>
    <w:rsid w:val="00867D4C"/>
    <w:rsid w:val="0087131A"/>
    <w:rsid w:val="0087402F"/>
    <w:rsid w:val="00876865"/>
    <w:rsid w:val="00881174"/>
    <w:rsid w:val="00884B5A"/>
    <w:rsid w:val="00887FE4"/>
    <w:rsid w:val="008919C9"/>
    <w:rsid w:val="00895547"/>
    <w:rsid w:val="00895E80"/>
    <w:rsid w:val="00897E92"/>
    <w:rsid w:val="008A2E2C"/>
    <w:rsid w:val="008A332D"/>
    <w:rsid w:val="008A4D7E"/>
    <w:rsid w:val="008A51AD"/>
    <w:rsid w:val="008B6381"/>
    <w:rsid w:val="008B6AE4"/>
    <w:rsid w:val="008C2051"/>
    <w:rsid w:val="008C2B4E"/>
    <w:rsid w:val="008C7D4C"/>
    <w:rsid w:val="008D41DD"/>
    <w:rsid w:val="008D720A"/>
    <w:rsid w:val="008D7786"/>
    <w:rsid w:val="008E6427"/>
    <w:rsid w:val="008F53FA"/>
    <w:rsid w:val="008F738E"/>
    <w:rsid w:val="00907C76"/>
    <w:rsid w:val="0091254E"/>
    <w:rsid w:val="00914B2C"/>
    <w:rsid w:val="00916928"/>
    <w:rsid w:val="00922207"/>
    <w:rsid w:val="00922AEA"/>
    <w:rsid w:val="00923CCC"/>
    <w:rsid w:val="009251D3"/>
    <w:rsid w:val="0092697A"/>
    <w:rsid w:val="00940A58"/>
    <w:rsid w:val="00941224"/>
    <w:rsid w:val="00944AF1"/>
    <w:rsid w:val="00947BB3"/>
    <w:rsid w:val="00947D9B"/>
    <w:rsid w:val="009611E8"/>
    <w:rsid w:val="00961368"/>
    <w:rsid w:val="009613E3"/>
    <w:rsid w:val="009664ED"/>
    <w:rsid w:val="00967100"/>
    <w:rsid w:val="00967B02"/>
    <w:rsid w:val="0098114B"/>
    <w:rsid w:val="00983527"/>
    <w:rsid w:val="009855AA"/>
    <w:rsid w:val="009855AC"/>
    <w:rsid w:val="009859D2"/>
    <w:rsid w:val="00985A3E"/>
    <w:rsid w:val="00986139"/>
    <w:rsid w:val="00986B03"/>
    <w:rsid w:val="0099119B"/>
    <w:rsid w:val="0099160E"/>
    <w:rsid w:val="0099586B"/>
    <w:rsid w:val="00996F82"/>
    <w:rsid w:val="009A038C"/>
    <w:rsid w:val="009A1E1D"/>
    <w:rsid w:val="009A2889"/>
    <w:rsid w:val="009A39E1"/>
    <w:rsid w:val="009A46AC"/>
    <w:rsid w:val="009A5A6F"/>
    <w:rsid w:val="009A6D8A"/>
    <w:rsid w:val="009B1CF7"/>
    <w:rsid w:val="009B254C"/>
    <w:rsid w:val="009B318D"/>
    <w:rsid w:val="009B54E7"/>
    <w:rsid w:val="009B732B"/>
    <w:rsid w:val="009C0C81"/>
    <w:rsid w:val="009C1980"/>
    <w:rsid w:val="009D3AEE"/>
    <w:rsid w:val="009D4BBE"/>
    <w:rsid w:val="009D56E7"/>
    <w:rsid w:val="009D7B8D"/>
    <w:rsid w:val="009E3D39"/>
    <w:rsid w:val="009E6CB6"/>
    <w:rsid w:val="009E6CC9"/>
    <w:rsid w:val="009F4D6C"/>
    <w:rsid w:val="009F7051"/>
    <w:rsid w:val="009F798A"/>
    <w:rsid w:val="00A00B7F"/>
    <w:rsid w:val="00A01681"/>
    <w:rsid w:val="00A01764"/>
    <w:rsid w:val="00A02EEE"/>
    <w:rsid w:val="00A11F32"/>
    <w:rsid w:val="00A16E0E"/>
    <w:rsid w:val="00A17B5A"/>
    <w:rsid w:val="00A202ED"/>
    <w:rsid w:val="00A233A8"/>
    <w:rsid w:val="00A23B23"/>
    <w:rsid w:val="00A30AD8"/>
    <w:rsid w:val="00A3257A"/>
    <w:rsid w:val="00A33748"/>
    <w:rsid w:val="00A346C5"/>
    <w:rsid w:val="00A34941"/>
    <w:rsid w:val="00A34D23"/>
    <w:rsid w:val="00A352C9"/>
    <w:rsid w:val="00A35EEB"/>
    <w:rsid w:val="00A3681C"/>
    <w:rsid w:val="00A40740"/>
    <w:rsid w:val="00A42893"/>
    <w:rsid w:val="00A55630"/>
    <w:rsid w:val="00A56D6D"/>
    <w:rsid w:val="00A60177"/>
    <w:rsid w:val="00A607D4"/>
    <w:rsid w:val="00A60AA1"/>
    <w:rsid w:val="00A83836"/>
    <w:rsid w:val="00A85FFA"/>
    <w:rsid w:val="00A8768B"/>
    <w:rsid w:val="00A87A82"/>
    <w:rsid w:val="00A94177"/>
    <w:rsid w:val="00A9445A"/>
    <w:rsid w:val="00A9741E"/>
    <w:rsid w:val="00A97A8A"/>
    <w:rsid w:val="00AA12B6"/>
    <w:rsid w:val="00AA20ED"/>
    <w:rsid w:val="00AA2FC7"/>
    <w:rsid w:val="00AA3265"/>
    <w:rsid w:val="00AA32D1"/>
    <w:rsid w:val="00AA558F"/>
    <w:rsid w:val="00AA5F1C"/>
    <w:rsid w:val="00AB040E"/>
    <w:rsid w:val="00AB3D6B"/>
    <w:rsid w:val="00AB523E"/>
    <w:rsid w:val="00AB5C86"/>
    <w:rsid w:val="00AB5CE7"/>
    <w:rsid w:val="00AB5E80"/>
    <w:rsid w:val="00AB6803"/>
    <w:rsid w:val="00AB6C94"/>
    <w:rsid w:val="00AB71FA"/>
    <w:rsid w:val="00AC29B9"/>
    <w:rsid w:val="00AC3FC6"/>
    <w:rsid w:val="00AC63A9"/>
    <w:rsid w:val="00AD0433"/>
    <w:rsid w:val="00AD05B9"/>
    <w:rsid w:val="00AD6C71"/>
    <w:rsid w:val="00AD731F"/>
    <w:rsid w:val="00AE118A"/>
    <w:rsid w:val="00AE34D0"/>
    <w:rsid w:val="00AE725C"/>
    <w:rsid w:val="00AF37B4"/>
    <w:rsid w:val="00AF48C3"/>
    <w:rsid w:val="00AF512E"/>
    <w:rsid w:val="00B00C03"/>
    <w:rsid w:val="00B00ED9"/>
    <w:rsid w:val="00B016F8"/>
    <w:rsid w:val="00B01B6C"/>
    <w:rsid w:val="00B028AA"/>
    <w:rsid w:val="00B05AED"/>
    <w:rsid w:val="00B05C00"/>
    <w:rsid w:val="00B06A33"/>
    <w:rsid w:val="00B11587"/>
    <w:rsid w:val="00B12BA1"/>
    <w:rsid w:val="00B14818"/>
    <w:rsid w:val="00B15023"/>
    <w:rsid w:val="00B153AD"/>
    <w:rsid w:val="00B153B4"/>
    <w:rsid w:val="00B16039"/>
    <w:rsid w:val="00B1641B"/>
    <w:rsid w:val="00B23DC5"/>
    <w:rsid w:val="00B30CE8"/>
    <w:rsid w:val="00B40CFB"/>
    <w:rsid w:val="00B41CA9"/>
    <w:rsid w:val="00B432B8"/>
    <w:rsid w:val="00B44B62"/>
    <w:rsid w:val="00B45B9D"/>
    <w:rsid w:val="00B4659E"/>
    <w:rsid w:val="00B5116D"/>
    <w:rsid w:val="00B514B1"/>
    <w:rsid w:val="00B522A1"/>
    <w:rsid w:val="00B559CC"/>
    <w:rsid w:val="00B56487"/>
    <w:rsid w:val="00B6024B"/>
    <w:rsid w:val="00B60455"/>
    <w:rsid w:val="00B60DF8"/>
    <w:rsid w:val="00B65D07"/>
    <w:rsid w:val="00B65F19"/>
    <w:rsid w:val="00B672A2"/>
    <w:rsid w:val="00B67EF3"/>
    <w:rsid w:val="00B704FE"/>
    <w:rsid w:val="00B71A69"/>
    <w:rsid w:val="00B72488"/>
    <w:rsid w:val="00B73B90"/>
    <w:rsid w:val="00B75ED9"/>
    <w:rsid w:val="00B77B0C"/>
    <w:rsid w:val="00B82F99"/>
    <w:rsid w:val="00B848BE"/>
    <w:rsid w:val="00B855ED"/>
    <w:rsid w:val="00B91821"/>
    <w:rsid w:val="00B91B4B"/>
    <w:rsid w:val="00B9598C"/>
    <w:rsid w:val="00BA080D"/>
    <w:rsid w:val="00BA0A7F"/>
    <w:rsid w:val="00BA1090"/>
    <w:rsid w:val="00BA16E7"/>
    <w:rsid w:val="00BA2F7B"/>
    <w:rsid w:val="00BA485F"/>
    <w:rsid w:val="00BA719D"/>
    <w:rsid w:val="00BA7921"/>
    <w:rsid w:val="00BB0D3B"/>
    <w:rsid w:val="00BB2FB5"/>
    <w:rsid w:val="00BB5AB0"/>
    <w:rsid w:val="00BC0418"/>
    <w:rsid w:val="00BC0895"/>
    <w:rsid w:val="00BC195E"/>
    <w:rsid w:val="00BC5F3D"/>
    <w:rsid w:val="00BC607F"/>
    <w:rsid w:val="00BC6352"/>
    <w:rsid w:val="00BC6779"/>
    <w:rsid w:val="00BD2034"/>
    <w:rsid w:val="00BD2C7F"/>
    <w:rsid w:val="00BD693E"/>
    <w:rsid w:val="00BD7B4F"/>
    <w:rsid w:val="00BE043B"/>
    <w:rsid w:val="00BE0F90"/>
    <w:rsid w:val="00BE1961"/>
    <w:rsid w:val="00BE1CEC"/>
    <w:rsid w:val="00BF362F"/>
    <w:rsid w:val="00BF46B8"/>
    <w:rsid w:val="00C02AB3"/>
    <w:rsid w:val="00C067E0"/>
    <w:rsid w:val="00C103D5"/>
    <w:rsid w:val="00C10FAF"/>
    <w:rsid w:val="00C17B00"/>
    <w:rsid w:val="00C218C9"/>
    <w:rsid w:val="00C223D2"/>
    <w:rsid w:val="00C2246A"/>
    <w:rsid w:val="00C22B3A"/>
    <w:rsid w:val="00C23D0F"/>
    <w:rsid w:val="00C2431D"/>
    <w:rsid w:val="00C24753"/>
    <w:rsid w:val="00C3057D"/>
    <w:rsid w:val="00C30BE4"/>
    <w:rsid w:val="00C33174"/>
    <w:rsid w:val="00C374F4"/>
    <w:rsid w:val="00C42C96"/>
    <w:rsid w:val="00C44028"/>
    <w:rsid w:val="00C4533A"/>
    <w:rsid w:val="00C4565D"/>
    <w:rsid w:val="00C4694A"/>
    <w:rsid w:val="00C478E4"/>
    <w:rsid w:val="00C47AA0"/>
    <w:rsid w:val="00C52CED"/>
    <w:rsid w:val="00C641AF"/>
    <w:rsid w:val="00C713C5"/>
    <w:rsid w:val="00C754ED"/>
    <w:rsid w:val="00C805A9"/>
    <w:rsid w:val="00C80867"/>
    <w:rsid w:val="00C839D4"/>
    <w:rsid w:val="00C83FFC"/>
    <w:rsid w:val="00C938FA"/>
    <w:rsid w:val="00C94149"/>
    <w:rsid w:val="00CA5DD3"/>
    <w:rsid w:val="00CA64ED"/>
    <w:rsid w:val="00CA7AF2"/>
    <w:rsid w:val="00CB0628"/>
    <w:rsid w:val="00CB4340"/>
    <w:rsid w:val="00CB7911"/>
    <w:rsid w:val="00CB7F1E"/>
    <w:rsid w:val="00CC1D91"/>
    <w:rsid w:val="00CC1ECF"/>
    <w:rsid w:val="00CC7C40"/>
    <w:rsid w:val="00CD549B"/>
    <w:rsid w:val="00CD5EDA"/>
    <w:rsid w:val="00CE2F79"/>
    <w:rsid w:val="00CE388B"/>
    <w:rsid w:val="00CE56DC"/>
    <w:rsid w:val="00CF6338"/>
    <w:rsid w:val="00D000A7"/>
    <w:rsid w:val="00D02263"/>
    <w:rsid w:val="00D03A1B"/>
    <w:rsid w:val="00D048BD"/>
    <w:rsid w:val="00D133DC"/>
    <w:rsid w:val="00D133E0"/>
    <w:rsid w:val="00D2328B"/>
    <w:rsid w:val="00D35C1E"/>
    <w:rsid w:val="00D43CE8"/>
    <w:rsid w:val="00D447F4"/>
    <w:rsid w:val="00D45530"/>
    <w:rsid w:val="00D501CE"/>
    <w:rsid w:val="00D5232C"/>
    <w:rsid w:val="00D53B98"/>
    <w:rsid w:val="00D623A6"/>
    <w:rsid w:val="00D71398"/>
    <w:rsid w:val="00D71D07"/>
    <w:rsid w:val="00D720F8"/>
    <w:rsid w:val="00D74AB2"/>
    <w:rsid w:val="00D75829"/>
    <w:rsid w:val="00D84636"/>
    <w:rsid w:val="00D86A09"/>
    <w:rsid w:val="00D8708D"/>
    <w:rsid w:val="00D874D5"/>
    <w:rsid w:val="00D90CC1"/>
    <w:rsid w:val="00D933BF"/>
    <w:rsid w:val="00D95DC9"/>
    <w:rsid w:val="00DA2614"/>
    <w:rsid w:val="00DA31B9"/>
    <w:rsid w:val="00DA6C10"/>
    <w:rsid w:val="00DA71C8"/>
    <w:rsid w:val="00DA742E"/>
    <w:rsid w:val="00DB4134"/>
    <w:rsid w:val="00DB48C4"/>
    <w:rsid w:val="00DB773A"/>
    <w:rsid w:val="00DB7B07"/>
    <w:rsid w:val="00DD45B5"/>
    <w:rsid w:val="00DD576D"/>
    <w:rsid w:val="00DD7C1C"/>
    <w:rsid w:val="00DE2DF8"/>
    <w:rsid w:val="00DE4743"/>
    <w:rsid w:val="00DE4F70"/>
    <w:rsid w:val="00DF1422"/>
    <w:rsid w:val="00DF23A0"/>
    <w:rsid w:val="00DF4F14"/>
    <w:rsid w:val="00DF622B"/>
    <w:rsid w:val="00DF7FC0"/>
    <w:rsid w:val="00E00E6D"/>
    <w:rsid w:val="00E010B2"/>
    <w:rsid w:val="00E03EB9"/>
    <w:rsid w:val="00E103BD"/>
    <w:rsid w:val="00E10766"/>
    <w:rsid w:val="00E16B7C"/>
    <w:rsid w:val="00E17CEC"/>
    <w:rsid w:val="00E22082"/>
    <w:rsid w:val="00E2253A"/>
    <w:rsid w:val="00E2307D"/>
    <w:rsid w:val="00E40676"/>
    <w:rsid w:val="00E419FE"/>
    <w:rsid w:val="00E426DC"/>
    <w:rsid w:val="00E45EDE"/>
    <w:rsid w:val="00E51A9B"/>
    <w:rsid w:val="00E533BF"/>
    <w:rsid w:val="00E54CA9"/>
    <w:rsid w:val="00E6464F"/>
    <w:rsid w:val="00E652BC"/>
    <w:rsid w:val="00E654A7"/>
    <w:rsid w:val="00E6559F"/>
    <w:rsid w:val="00E662A5"/>
    <w:rsid w:val="00E67316"/>
    <w:rsid w:val="00E71158"/>
    <w:rsid w:val="00E723F8"/>
    <w:rsid w:val="00E80E9F"/>
    <w:rsid w:val="00E85CA8"/>
    <w:rsid w:val="00E904FC"/>
    <w:rsid w:val="00E92E15"/>
    <w:rsid w:val="00EA29ED"/>
    <w:rsid w:val="00EA2C68"/>
    <w:rsid w:val="00EA5343"/>
    <w:rsid w:val="00EA6F0B"/>
    <w:rsid w:val="00EB605A"/>
    <w:rsid w:val="00EC09BB"/>
    <w:rsid w:val="00EC4D23"/>
    <w:rsid w:val="00ED127B"/>
    <w:rsid w:val="00ED3AF1"/>
    <w:rsid w:val="00ED3BE9"/>
    <w:rsid w:val="00ED5B19"/>
    <w:rsid w:val="00ED6C44"/>
    <w:rsid w:val="00ED7D33"/>
    <w:rsid w:val="00EE237E"/>
    <w:rsid w:val="00EE29E3"/>
    <w:rsid w:val="00EE2C63"/>
    <w:rsid w:val="00EE508F"/>
    <w:rsid w:val="00EF3355"/>
    <w:rsid w:val="00F004D2"/>
    <w:rsid w:val="00F07AA0"/>
    <w:rsid w:val="00F07DCB"/>
    <w:rsid w:val="00F133B8"/>
    <w:rsid w:val="00F15D5E"/>
    <w:rsid w:val="00F216BD"/>
    <w:rsid w:val="00F23D30"/>
    <w:rsid w:val="00F33038"/>
    <w:rsid w:val="00F33494"/>
    <w:rsid w:val="00F33CC5"/>
    <w:rsid w:val="00F35152"/>
    <w:rsid w:val="00F35E09"/>
    <w:rsid w:val="00F36F58"/>
    <w:rsid w:val="00F435AF"/>
    <w:rsid w:val="00F43A03"/>
    <w:rsid w:val="00F46C19"/>
    <w:rsid w:val="00F47632"/>
    <w:rsid w:val="00F47B5C"/>
    <w:rsid w:val="00F527C9"/>
    <w:rsid w:val="00F53B9B"/>
    <w:rsid w:val="00F54D12"/>
    <w:rsid w:val="00F5616C"/>
    <w:rsid w:val="00F56F45"/>
    <w:rsid w:val="00F6077B"/>
    <w:rsid w:val="00F64CAB"/>
    <w:rsid w:val="00F67AD6"/>
    <w:rsid w:val="00F7188E"/>
    <w:rsid w:val="00F73976"/>
    <w:rsid w:val="00F74140"/>
    <w:rsid w:val="00F74495"/>
    <w:rsid w:val="00F85DAE"/>
    <w:rsid w:val="00F870C8"/>
    <w:rsid w:val="00F92D38"/>
    <w:rsid w:val="00F96196"/>
    <w:rsid w:val="00FA3237"/>
    <w:rsid w:val="00FA3374"/>
    <w:rsid w:val="00FA438E"/>
    <w:rsid w:val="00FA441F"/>
    <w:rsid w:val="00FA54B8"/>
    <w:rsid w:val="00FA5D3E"/>
    <w:rsid w:val="00FA6C24"/>
    <w:rsid w:val="00FB3D4F"/>
    <w:rsid w:val="00FB3EDF"/>
    <w:rsid w:val="00FB3F6B"/>
    <w:rsid w:val="00FB4B14"/>
    <w:rsid w:val="00FB7F84"/>
    <w:rsid w:val="00FC0FF1"/>
    <w:rsid w:val="00FC1F5D"/>
    <w:rsid w:val="00FC282E"/>
    <w:rsid w:val="00FC5AC1"/>
    <w:rsid w:val="00FD0F57"/>
    <w:rsid w:val="00FD3FF2"/>
    <w:rsid w:val="00FD734C"/>
    <w:rsid w:val="00FD7D06"/>
    <w:rsid w:val="00FE2320"/>
    <w:rsid w:val="00FE3D41"/>
    <w:rsid w:val="00FE6E69"/>
    <w:rsid w:val="00FF19E2"/>
    <w:rsid w:val="00FF3063"/>
    <w:rsid w:val="00FF4FFF"/>
    <w:rsid w:val="00FF61CC"/>
    <w:rsid w:val="00FF6684"/>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AFC54"/>
  <w15:chartTrackingRefBased/>
  <w15:docId w15:val="{5C91592E-4740-45A5-AFEE-9F3BBBA1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1440"/>
      </w:tabs>
      <w:spacing w:line="480" w:lineRule="auto"/>
      <w:jc w:val="both"/>
      <w:outlineLvl w:val="1"/>
    </w:pPr>
    <w:rPr>
      <w:b/>
      <w:sz w:val="24"/>
    </w:rPr>
  </w:style>
  <w:style w:type="paragraph" w:styleId="Heading3">
    <w:name w:val="heading 3"/>
    <w:basedOn w:val="Normal"/>
    <w:next w:val="Normal"/>
    <w:qFormat/>
    <w:rsid w:val="009F79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style>
  <w:style w:type="character" w:styleId="Emphasis">
    <w:name w:val="Emphasis"/>
    <w:uiPriority w:val="20"/>
    <w:qFormat/>
    <w:rPr>
      <w:i/>
      <w:iCs/>
    </w:rPr>
  </w:style>
  <w:style w:type="paragraph" w:styleId="FootnoteText">
    <w:name w:val="footnote text"/>
    <w:basedOn w:val="Normal"/>
    <w:link w:val="FootnoteTextChar"/>
    <w:semiHidden/>
    <w:rPr>
      <w:szCs w:val="20"/>
    </w:rPr>
  </w:style>
  <w:style w:type="paragraph" w:styleId="BodyText">
    <w:name w:val="Body Text"/>
    <w:basedOn w:val="Normal"/>
    <w:link w:val="BodyTextChar"/>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Pr>
      <w:rFonts w:ascii="Baskerville Old Face" w:hAnsi="Baskerville Old Face"/>
      <w:sz w:val="24"/>
    </w:rPr>
  </w:style>
  <w:style w:type="paragraph" w:styleId="BalloonText">
    <w:name w:val="Balloon Text"/>
    <w:basedOn w:val="Normal"/>
    <w:semiHidden/>
    <w:rPr>
      <w:rFonts w:ascii="Tahoma" w:hAnsi="Tahoma" w:cs="Tahoma"/>
      <w:sz w:val="16"/>
      <w:szCs w:val="16"/>
    </w:rPr>
  </w:style>
  <w:style w:type="paragraph" w:customStyle="1" w:styleId="Footnote">
    <w:name w:val="Footnote"/>
    <w:basedOn w:val="Normal"/>
    <w:link w:val="FootnoteChar"/>
    <w:pPr>
      <w:spacing w:after="240"/>
    </w:pPr>
    <w:rPr>
      <w:szCs w:val="20"/>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Title">
    <w:name w:val="Title"/>
    <w:basedOn w:val="Normal"/>
    <w:link w:val="TitleChar"/>
    <w:qFormat/>
    <w:rsid w:val="00A352C9"/>
    <w:pPr>
      <w:spacing w:before="480" w:after="480"/>
      <w:contextualSpacing/>
      <w:jc w:val="center"/>
      <w:outlineLvl w:val="0"/>
    </w:pPr>
    <w:rPr>
      <w:rFonts w:cs="Arial"/>
      <w:b/>
      <w:bCs/>
      <w:kern w:val="28"/>
      <w:sz w:val="28"/>
      <w:szCs w:val="32"/>
    </w:rPr>
  </w:style>
  <w:style w:type="character" w:customStyle="1" w:styleId="TitleChar">
    <w:name w:val="Title Char"/>
    <w:link w:val="Title"/>
    <w:rsid w:val="00A352C9"/>
    <w:rPr>
      <w:rFonts w:cs="Arial"/>
      <w:b/>
      <w:bCs/>
      <w:kern w:val="28"/>
      <w:sz w:val="28"/>
      <w:szCs w:val="32"/>
      <w:lang w:val="en-US" w:eastAsia="en-US" w:bidi="ar-SA"/>
    </w:rPr>
  </w:style>
  <w:style w:type="paragraph" w:customStyle="1" w:styleId="Numberedparagraph">
    <w:name w:val="Numbered paragraph"/>
    <w:basedOn w:val="Normal"/>
    <w:link w:val="NumberedparagraphChar"/>
    <w:rsid w:val="00082097"/>
    <w:pPr>
      <w:numPr>
        <w:numId w:val="9"/>
      </w:numPr>
      <w:spacing w:line="480" w:lineRule="auto"/>
      <w:jc w:val="both"/>
    </w:pPr>
    <w:rPr>
      <w:sz w:val="24"/>
    </w:rPr>
  </w:style>
  <w:style w:type="character" w:customStyle="1" w:styleId="NumberedparagraphChar">
    <w:name w:val="Numbered paragraph Char"/>
    <w:link w:val="Numberedparagraph"/>
    <w:rsid w:val="00082097"/>
    <w:rPr>
      <w:sz w:val="24"/>
      <w:szCs w:val="24"/>
      <w:lang w:val="en-US" w:eastAsia="en-US" w:bidi="ar-SA"/>
    </w:rPr>
  </w:style>
  <w:style w:type="paragraph" w:customStyle="1" w:styleId="ColorfulGrid-Accent11">
    <w:name w:val="Colorful Grid - Accent 11"/>
    <w:basedOn w:val="Normal"/>
    <w:link w:val="ColorfulGrid-Accent1Char"/>
    <w:qFormat/>
    <w:rsid w:val="009F798A"/>
    <w:pPr>
      <w:spacing w:after="240"/>
      <w:ind w:left="720" w:right="720"/>
      <w:jc w:val="both"/>
    </w:pPr>
    <w:rPr>
      <w:sz w:val="24"/>
    </w:rPr>
  </w:style>
  <w:style w:type="character" w:customStyle="1" w:styleId="ColorfulGrid-Accent1Char">
    <w:name w:val="Colorful Grid - Accent 1 Char"/>
    <w:link w:val="ColorfulGrid-Accent11"/>
    <w:rsid w:val="009F798A"/>
    <w:rPr>
      <w:sz w:val="24"/>
      <w:szCs w:val="24"/>
      <w:lang w:val="en-US" w:eastAsia="en-US" w:bidi="ar-SA"/>
    </w:rPr>
  </w:style>
  <w:style w:type="character" w:customStyle="1" w:styleId="FootnoteChar">
    <w:name w:val="Footnote Char"/>
    <w:link w:val="Footnote"/>
    <w:rsid w:val="009F798A"/>
    <w:rPr>
      <w:lang w:val="en-US" w:eastAsia="en-US" w:bidi="ar-SA"/>
    </w:rPr>
  </w:style>
  <w:style w:type="character" w:styleId="CommentReference">
    <w:name w:val="annotation reference"/>
    <w:basedOn w:val="DefaultParagraphFont"/>
    <w:rsid w:val="00B77B0C"/>
    <w:rPr>
      <w:sz w:val="16"/>
      <w:szCs w:val="16"/>
    </w:rPr>
  </w:style>
  <w:style w:type="paragraph" w:styleId="CommentText">
    <w:name w:val="annotation text"/>
    <w:basedOn w:val="Normal"/>
    <w:link w:val="CommentTextChar"/>
    <w:rsid w:val="00B77B0C"/>
    <w:rPr>
      <w:szCs w:val="20"/>
    </w:rPr>
  </w:style>
  <w:style w:type="character" w:customStyle="1" w:styleId="CommentTextChar">
    <w:name w:val="Comment Text Char"/>
    <w:basedOn w:val="DefaultParagraphFont"/>
    <w:link w:val="CommentText"/>
    <w:rsid w:val="00B77B0C"/>
  </w:style>
  <w:style w:type="paragraph" w:styleId="CommentSubject">
    <w:name w:val="annotation subject"/>
    <w:basedOn w:val="CommentText"/>
    <w:next w:val="CommentText"/>
    <w:link w:val="CommentSubjectChar"/>
    <w:rsid w:val="00B77B0C"/>
    <w:rPr>
      <w:b/>
      <w:bCs/>
    </w:rPr>
  </w:style>
  <w:style w:type="character" w:customStyle="1" w:styleId="CommentSubjectChar">
    <w:name w:val="Comment Subject Char"/>
    <w:basedOn w:val="CommentTextChar"/>
    <w:link w:val="CommentSubject"/>
    <w:rsid w:val="00B77B0C"/>
    <w:rPr>
      <w:b/>
      <w:bCs/>
    </w:rPr>
  </w:style>
  <w:style w:type="character" w:customStyle="1" w:styleId="cohl">
    <w:name w:val="co_hl"/>
    <w:basedOn w:val="DefaultParagraphFont"/>
    <w:rsid w:val="008919C9"/>
  </w:style>
  <w:style w:type="character" w:customStyle="1" w:styleId="apple-converted-space">
    <w:name w:val="apple-converted-space"/>
    <w:basedOn w:val="DefaultParagraphFont"/>
    <w:rsid w:val="00C3057D"/>
  </w:style>
  <w:style w:type="character" w:customStyle="1" w:styleId="cosearchterm">
    <w:name w:val="co_searchterm"/>
    <w:basedOn w:val="DefaultParagraphFont"/>
    <w:rsid w:val="00764B42"/>
  </w:style>
  <w:style w:type="character" w:customStyle="1" w:styleId="costarpage">
    <w:name w:val="co_starpage"/>
    <w:basedOn w:val="DefaultParagraphFont"/>
    <w:rsid w:val="006B1AF1"/>
  </w:style>
  <w:style w:type="character" w:customStyle="1" w:styleId="cosmallcaps">
    <w:name w:val="co_smallcaps"/>
    <w:basedOn w:val="DefaultParagraphFont"/>
    <w:rsid w:val="006B1AF1"/>
  </w:style>
  <w:style w:type="character" w:styleId="Hyperlink">
    <w:name w:val="Hyperlink"/>
    <w:basedOn w:val="DefaultParagraphFont"/>
    <w:rsid w:val="002113A9"/>
    <w:rPr>
      <w:color w:val="0563C1" w:themeColor="hyperlink"/>
      <w:u w:val="single"/>
    </w:rPr>
  </w:style>
  <w:style w:type="paragraph" w:styleId="NormalWeb">
    <w:name w:val="Normal (Web)"/>
    <w:basedOn w:val="Normal"/>
    <w:uiPriority w:val="99"/>
    <w:unhideWhenUsed/>
    <w:rsid w:val="00635CC7"/>
    <w:pPr>
      <w:widowControl/>
      <w:autoSpaceDE/>
      <w:autoSpaceDN/>
      <w:adjustRightInd/>
      <w:spacing w:before="100" w:beforeAutospacing="1" w:after="100" w:afterAutospacing="1"/>
    </w:pPr>
    <w:rPr>
      <w:rFonts w:eastAsiaTheme="minorHAnsi"/>
      <w:sz w:val="24"/>
    </w:rPr>
  </w:style>
  <w:style w:type="paragraph" w:styleId="ListParagraph">
    <w:name w:val="List Paragraph"/>
    <w:basedOn w:val="Normal"/>
    <w:uiPriority w:val="34"/>
    <w:qFormat/>
    <w:rsid w:val="002E0A00"/>
    <w:pPr>
      <w:ind w:left="720"/>
      <w:contextualSpacing/>
    </w:pPr>
  </w:style>
  <w:style w:type="character" w:customStyle="1" w:styleId="FootnoteTextChar">
    <w:name w:val="Footnote Text Char"/>
    <w:basedOn w:val="DefaultParagraphFont"/>
    <w:link w:val="FootnoteText"/>
    <w:semiHidden/>
    <w:rsid w:val="00D133E0"/>
  </w:style>
  <w:style w:type="character" w:customStyle="1" w:styleId="BodyTextChar">
    <w:name w:val="Body Text Char"/>
    <w:basedOn w:val="DefaultParagraphFont"/>
    <w:link w:val="BodyText"/>
    <w:rsid w:val="0099119B"/>
    <w:rPr>
      <w:rFonts w:ascii="Baskerville Old Face" w:hAnsi="Baskerville Old Face"/>
      <w:sz w:val="24"/>
      <w:szCs w:val="24"/>
    </w:rPr>
  </w:style>
  <w:style w:type="paragraph" w:styleId="EndnoteText">
    <w:name w:val="endnote text"/>
    <w:basedOn w:val="Normal"/>
    <w:link w:val="EndnoteTextChar"/>
    <w:rsid w:val="001039DE"/>
    <w:rPr>
      <w:szCs w:val="20"/>
    </w:rPr>
  </w:style>
  <w:style w:type="character" w:customStyle="1" w:styleId="EndnoteTextChar">
    <w:name w:val="Endnote Text Char"/>
    <w:basedOn w:val="DefaultParagraphFont"/>
    <w:link w:val="EndnoteText"/>
    <w:rsid w:val="001039DE"/>
  </w:style>
  <w:style w:type="character" w:styleId="EndnoteReference">
    <w:name w:val="endnote reference"/>
    <w:basedOn w:val="DefaultParagraphFont"/>
    <w:rsid w:val="00103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082">
      <w:bodyDiv w:val="1"/>
      <w:marLeft w:val="0"/>
      <w:marRight w:val="0"/>
      <w:marTop w:val="0"/>
      <w:marBottom w:val="0"/>
      <w:divBdr>
        <w:top w:val="none" w:sz="0" w:space="0" w:color="auto"/>
        <w:left w:val="none" w:sz="0" w:space="0" w:color="auto"/>
        <w:bottom w:val="none" w:sz="0" w:space="0" w:color="auto"/>
        <w:right w:val="none" w:sz="0" w:space="0" w:color="auto"/>
      </w:divBdr>
      <w:divsChild>
        <w:div w:id="1575435108">
          <w:marLeft w:val="0"/>
          <w:marRight w:val="0"/>
          <w:marTop w:val="0"/>
          <w:marBottom w:val="0"/>
          <w:divBdr>
            <w:top w:val="none" w:sz="0" w:space="0" w:color="auto"/>
            <w:left w:val="none" w:sz="0" w:space="0" w:color="auto"/>
            <w:bottom w:val="none" w:sz="0" w:space="0" w:color="auto"/>
            <w:right w:val="none" w:sz="0" w:space="0" w:color="auto"/>
          </w:divBdr>
        </w:div>
      </w:divsChild>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110901542">
      <w:bodyDiv w:val="1"/>
      <w:marLeft w:val="0"/>
      <w:marRight w:val="0"/>
      <w:marTop w:val="0"/>
      <w:marBottom w:val="0"/>
      <w:divBdr>
        <w:top w:val="none" w:sz="0" w:space="0" w:color="auto"/>
        <w:left w:val="none" w:sz="0" w:space="0" w:color="auto"/>
        <w:bottom w:val="none" w:sz="0" w:space="0" w:color="auto"/>
        <w:right w:val="none" w:sz="0" w:space="0" w:color="auto"/>
      </w:divBdr>
      <w:divsChild>
        <w:div w:id="136651662">
          <w:marLeft w:val="0"/>
          <w:marRight w:val="0"/>
          <w:marTop w:val="0"/>
          <w:marBottom w:val="0"/>
          <w:divBdr>
            <w:top w:val="none" w:sz="0" w:space="0" w:color="auto"/>
            <w:left w:val="none" w:sz="0" w:space="0" w:color="auto"/>
            <w:bottom w:val="none" w:sz="0" w:space="0" w:color="auto"/>
            <w:right w:val="none" w:sz="0" w:space="0" w:color="auto"/>
          </w:divBdr>
        </w:div>
      </w:divsChild>
    </w:div>
    <w:div w:id="131335557">
      <w:bodyDiv w:val="1"/>
      <w:marLeft w:val="0"/>
      <w:marRight w:val="0"/>
      <w:marTop w:val="0"/>
      <w:marBottom w:val="0"/>
      <w:divBdr>
        <w:top w:val="none" w:sz="0" w:space="0" w:color="auto"/>
        <w:left w:val="none" w:sz="0" w:space="0" w:color="auto"/>
        <w:bottom w:val="none" w:sz="0" w:space="0" w:color="auto"/>
        <w:right w:val="none" w:sz="0" w:space="0" w:color="auto"/>
      </w:divBdr>
      <w:divsChild>
        <w:div w:id="1174690849">
          <w:marLeft w:val="0"/>
          <w:marRight w:val="0"/>
          <w:marTop w:val="0"/>
          <w:marBottom w:val="0"/>
          <w:divBdr>
            <w:top w:val="none" w:sz="0" w:space="0" w:color="auto"/>
            <w:left w:val="none" w:sz="0" w:space="0" w:color="auto"/>
            <w:bottom w:val="none" w:sz="0" w:space="0" w:color="auto"/>
            <w:right w:val="none" w:sz="0" w:space="0" w:color="auto"/>
          </w:divBdr>
        </w:div>
      </w:divsChild>
    </w:div>
    <w:div w:id="154148834">
      <w:bodyDiv w:val="1"/>
      <w:marLeft w:val="0"/>
      <w:marRight w:val="0"/>
      <w:marTop w:val="0"/>
      <w:marBottom w:val="0"/>
      <w:divBdr>
        <w:top w:val="none" w:sz="0" w:space="0" w:color="auto"/>
        <w:left w:val="none" w:sz="0" w:space="0" w:color="auto"/>
        <w:bottom w:val="none" w:sz="0" w:space="0" w:color="auto"/>
        <w:right w:val="none" w:sz="0" w:space="0" w:color="auto"/>
      </w:divBdr>
      <w:divsChild>
        <w:div w:id="695809345">
          <w:marLeft w:val="0"/>
          <w:marRight w:val="0"/>
          <w:marTop w:val="0"/>
          <w:marBottom w:val="0"/>
          <w:divBdr>
            <w:top w:val="none" w:sz="0" w:space="0" w:color="auto"/>
            <w:left w:val="none" w:sz="0" w:space="0" w:color="auto"/>
            <w:bottom w:val="none" w:sz="0" w:space="0" w:color="auto"/>
            <w:right w:val="none" w:sz="0" w:space="0" w:color="auto"/>
          </w:divBdr>
        </w:div>
      </w:divsChild>
    </w:div>
    <w:div w:id="159931733">
      <w:bodyDiv w:val="1"/>
      <w:marLeft w:val="0"/>
      <w:marRight w:val="0"/>
      <w:marTop w:val="0"/>
      <w:marBottom w:val="0"/>
      <w:divBdr>
        <w:top w:val="none" w:sz="0" w:space="0" w:color="auto"/>
        <w:left w:val="none" w:sz="0" w:space="0" w:color="auto"/>
        <w:bottom w:val="none" w:sz="0" w:space="0" w:color="auto"/>
        <w:right w:val="none" w:sz="0" w:space="0" w:color="auto"/>
      </w:divBdr>
      <w:divsChild>
        <w:div w:id="919603504">
          <w:marLeft w:val="0"/>
          <w:marRight w:val="0"/>
          <w:marTop w:val="0"/>
          <w:marBottom w:val="0"/>
          <w:divBdr>
            <w:top w:val="none" w:sz="0" w:space="0" w:color="auto"/>
            <w:left w:val="none" w:sz="0" w:space="0" w:color="auto"/>
            <w:bottom w:val="none" w:sz="0" w:space="0" w:color="auto"/>
            <w:right w:val="none" w:sz="0" w:space="0" w:color="auto"/>
          </w:divBdr>
        </w:div>
      </w:divsChild>
    </w:div>
    <w:div w:id="201867592">
      <w:bodyDiv w:val="1"/>
      <w:marLeft w:val="0"/>
      <w:marRight w:val="0"/>
      <w:marTop w:val="0"/>
      <w:marBottom w:val="0"/>
      <w:divBdr>
        <w:top w:val="none" w:sz="0" w:space="0" w:color="auto"/>
        <w:left w:val="none" w:sz="0" w:space="0" w:color="auto"/>
        <w:bottom w:val="none" w:sz="0" w:space="0" w:color="auto"/>
        <w:right w:val="none" w:sz="0" w:space="0" w:color="auto"/>
      </w:divBdr>
      <w:divsChild>
        <w:div w:id="305553215">
          <w:marLeft w:val="0"/>
          <w:marRight w:val="0"/>
          <w:marTop w:val="0"/>
          <w:marBottom w:val="0"/>
          <w:divBdr>
            <w:top w:val="none" w:sz="0" w:space="0" w:color="auto"/>
            <w:left w:val="none" w:sz="0" w:space="0" w:color="auto"/>
            <w:bottom w:val="none" w:sz="0" w:space="0" w:color="auto"/>
            <w:right w:val="none" w:sz="0" w:space="0" w:color="auto"/>
          </w:divBdr>
        </w:div>
      </w:divsChild>
    </w:div>
    <w:div w:id="281232498">
      <w:bodyDiv w:val="1"/>
      <w:marLeft w:val="0"/>
      <w:marRight w:val="0"/>
      <w:marTop w:val="0"/>
      <w:marBottom w:val="0"/>
      <w:divBdr>
        <w:top w:val="none" w:sz="0" w:space="0" w:color="auto"/>
        <w:left w:val="none" w:sz="0" w:space="0" w:color="auto"/>
        <w:bottom w:val="none" w:sz="0" w:space="0" w:color="auto"/>
        <w:right w:val="none" w:sz="0" w:space="0" w:color="auto"/>
      </w:divBdr>
      <w:divsChild>
        <w:div w:id="2110926978">
          <w:marLeft w:val="0"/>
          <w:marRight w:val="0"/>
          <w:marTop w:val="0"/>
          <w:marBottom w:val="0"/>
          <w:divBdr>
            <w:top w:val="none" w:sz="0" w:space="0" w:color="auto"/>
            <w:left w:val="none" w:sz="0" w:space="0" w:color="auto"/>
            <w:bottom w:val="none" w:sz="0" w:space="0" w:color="auto"/>
            <w:right w:val="none" w:sz="0" w:space="0" w:color="auto"/>
          </w:divBdr>
        </w:div>
      </w:divsChild>
    </w:div>
    <w:div w:id="282465846">
      <w:bodyDiv w:val="1"/>
      <w:marLeft w:val="0"/>
      <w:marRight w:val="0"/>
      <w:marTop w:val="0"/>
      <w:marBottom w:val="0"/>
      <w:divBdr>
        <w:top w:val="none" w:sz="0" w:space="0" w:color="auto"/>
        <w:left w:val="none" w:sz="0" w:space="0" w:color="auto"/>
        <w:bottom w:val="none" w:sz="0" w:space="0" w:color="auto"/>
        <w:right w:val="none" w:sz="0" w:space="0" w:color="auto"/>
      </w:divBdr>
    </w:div>
    <w:div w:id="315885260">
      <w:bodyDiv w:val="1"/>
      <w:marLeft w:val="0"/>
      <w:marRight w:val="0"/>
      <w:marTop w:val="0"/>
      <w:marBottom w:val="0"/>
      <w:divBdr>
        <w:top w:val="none" w:sz="0" w:space="0" w:color="auto"/>
        <w:left w:val="none" w:sz="0" w:space="0" w:color="auto"/>
        <w:bottom w:val="none" w:sz="0" w:space="0" w:color="auto"/>
        <w:right w:val="none" w:sz="0" w:space="0" w:color="auto"/>
      </w:divBdr>
      <w:divsChild>
        <w:div w:id="1684741656">
          <w:marLeft w:val="0"/>
          <w:marRight w:val="0"/>
          <w:marTop w:val="0"/>
          <w:marBottom w:val="0"/>
          <w:divBdr>
            <w:top w:val="none" w:sz="0" w:space="0" w:color="auto"/>
            <w:left w:val="none" w:sz="0" w:space="0" w:color="auto"/>
            <w:bottom w:val="none" w:sz="0" w:space="0" w:color="auto"/>
            <w:right w:val="none" w:sz="0" w:space="0" w:color="auto"/>
          </w:divBdr>
          <w:divsChild>
            <w:div w:id="1949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2761">
      <w:bodyDiv w:val="1"/>
      <w:marLeft w:val="0"/>
      <w:marRight w:val="0"/>
      <w:marTop w:val="0"/>
      <w:marBottom w:val="0"/>
      <w:divBdr>
        <w:top w:val="none" w:sz="0" w:space="0" w:color="auto"/>
        <w:left w:val="none" w:sz="0" w:space="0" w:color="auto"/>
        <w:bottom w:val="none" w:sz="0" w:space="0" w:color="auto"/>
        <w:right w:val="none" w:sz="0" w:space="0" w:color="auto"/>
      </w:divBdr>
      <w:divsChild>
        <w:div w:id="596400492">
          <w:marLeft w:val="0"/>
          <w:marRight w:val="0"/>
          <w:marTop w:val="0"/>
          <w:marBottom w:val="0"/>
          <w:divBdr>
            <w:top w:val="none" w:sz="0" w:space="0" w:color="auto"/>
            <w:left w:val="none" w:sz="0" w:space="0" w:color="auto"/>
            <w:bottom w:val="none" w:sz="0" w:space="0" w:color="auto"/>
            <w:right w:val="none" w:sz="0" w:space="0" w:color="auto"/>
          </w:divBdr>
        </w:div>
      </w:divsChild>
    </w:div>
    <w:div w:id="431318080">
      <w:bodyDiv w:val="1"/>
      <w:marLeft w:val="0"/>
      <w:marRight w:val="0"/>
      <w:marTop w:val="0"/>
      <w:marBottom w:val="0"/>
      <w:divBdr>
        <w:top w:val="none" w:sz="0" w:space="0" w:color="auto"/>
        <w:left w:val="none" w:sz="0" w:space="0" w:color="auto"/>
        <w:bottom w:val="none" w:sz="0" w:space="0" w:color="auto"/>
        <w:right w:val="none" w:sz="0" w:space="0" w:color="auto"/>
      </w:divBdr>
      <w:divsChild>
        <w:div w:id="343288008">
          <w:marLeft w:val="0"/>
          <w:marRight w:val="0"/>
          <w:marTop w:val="0"/>
          <w:marBottom w:val="0"/>
          <w:divBdr>
            <w:top w:val="none" w:sz="0" w:space="0" w:color="auto"/>
            <w:left w:val="none" w:sz="0" w:space="0" w:color="auto"/>
            <w:bottom w:val="none" w:sz="0" w:space="0" w:color="auto"/>
            <w:right w:val="none" w:sz="0" w:space="0" w:color="auto"/>
          </w:divBdr>
        </w:div>
      </w:divsChild>
    </w:div>
    <w:div w:id="432096684">
      <w:bodyDiv w:val="1"/>
      <w:marLeft w:val="0"/>
      <w:marRight w:val="0"/>
      <w:marTop w:val="0"/>
      <w:marBottom w:val="0"/>
      <w:divBdr>
        <w:top w:val="none" w:sz="0" w:space="0" w:color="auto"/>
        <w:left w:val="none" w:sz="0" w:space="0" w:color="auto"/>
        <w:bottom w:val="none" w:sz="0" w:space="0" w:color="auto"/>
        <w:right w:val="none" w:sz="0" w:space="0" w:color="auto"/>
      </w:divBdr>
      <w:divsChild>
        <w:div w:id="237255625">
          <w:marLeft w:val="0"/>
          <w:marRight w:val="0"/>
          <w:marTop w:val="0"/>
          <w:marBottom w:val="0"/>
          <w:divBdr>
            <w:top w:val="none" w:sz="0" w:space="0" w:color="auto"/>
            <w:left w:val="none" w:sz="0" w:space="0" w:color="auto"/>
            <w:bottom w:val="none" w:sz="0" w:space="0" w:color="auto"/>
            <w:right w:val="none" w:sz="0" w:space="0" w:color="auto"/>
          </w:divBdr>
        </w:div>
      </w:divsChild>
    </w:div>
    <w:div w:id="564223600">
      <w:bodyDiv w:val="1"/>
      <w:marLeft w:val="0"/>
      <w:marRight w:val="0"/>
      <w:marTop w:val="0"/>
      <w:marBottom w:val="0"/>
      <w:divBdr>
        <w:top w:val="none" w:sz="0" w:space="0" w:color="auto"/>
        <w:left w:val="none" w:sz="0" w:space="0" w:color="auto"/>
        <w:bottom w:val="none" w:sz="0" w:space="0" w:color="auto"/>
        <w:right w:val="none" w:sz="0" w:space="0" w:color="auto"/>
      </w:divBdr>
    </w:div>
    <w:div w:id="665204187">
      <w:bodyDiv w:val="1"/>
      <w:marLeft w:val="0"/>
      <w:marRight w:val="0"/>
      <w:marTop w:val="0"/>
      <w:marBottom w:val="0"/>
      <w:divBdr>
        <w:top w:val="none" w:sz="0" w:space="0" w:color="auto"/>
        <w:left w:val="none" w:sz="0" w:space="0" w:color="auto"/>
        <w:bottom w:val="none" w:sz="0" w:space="0" w:color="auto"/>
        <w:right w:val="none" w:sz="0" w:space="0" w:color="auto"/>
      </w:divBdr>
      <w:divsChild>
        <w:div w:id="429005058">
          <w:marLeft w:val="0"/>
          <w:marRight w:val="0"/>
          <w:marTop w:val="0"/>
          <w:marBottom w:val="0"/>
          <w:divBdr>
            <w:top w:val="none" w:sz="0" w:space="0" w:color="auto"/>
            <w:left w:val="none" w:sz="0" w:space="0" w:color="auto"/>
            <w:bottom w:val="none" w:sz="0" w:space="0" w:color="auto"/>
            <w:right w:val="none" w:sz="0" w:space="0" w:color="auto"/>
          </w:divBdr>
          <w:divsChild>
            <w:div w:id="1907522073">
              <w:marLeft w:val="0"/>
              <w:marRight w:val="0"/>
              <w:marTop w:val="0"/>
              <w:marBottom w:val="0"/>
              <w:divBdr>
                <w:top w:val="none" w:sz="0" w:space="0" w:color="auto"/>
                <w:left w:val="none" w:sz="0" w:space="0" w:color="auto"/>
                <w:bottom w:val="none" w:sz="0" w:space="0" w:color="auto"/>
                <w:right w:val="none" w:sz="0" w:space="0" w:color="auto"/>
              </w:divBdr>
              <w:divsChild>
                <w:div w:id="1723674096">
                  <w:marLeft w:val="0"/>
                  <w:marRight w:val="0"/>
                  <w:marTop w:val="0"/>
                  <w:marBottom w:val="0"/>
                  <w:divBdr>
                    <w:top w:val="none" w:sz="0" w:space="0" w:color="auto"/>
                    <w:left w:val="none" w:sz="0" w:space="0" w:color="auto"/>
                    <w:bottom w:val="none" w:sz="0" w:space="0" w:color="auto"/>
                    <w:right w:val="none" w:sz="0" w:space="0" w:color="auto"/>
                  </w:divBdr>
                </w:div>
              </w:divsChild>
            </w:div>
            <w:div w:id="167403571">
              <w:marLeft w:val="0"/>
              <w:marRight w:val="0"/>
              <w:marTop w:val="0"/>
              <w:marBottom w:val="0"/>
              <w:divBdr>
                <w:top w:val="none" w:sz="0" w:space="0" w:color="auto"/>
                <w:left w:val="none" w:sz="0" w:space="0" w:color="auto"/>
                <w:bottom w:val="none" w:sz="0" w:space="0" w:color="auto"/>
                <w:right w:val="none" w:sz="0" w:space="0" w:color="auto"/>
              </w:divBdr>
              <w:divsChild>
                <w:div w:id="7311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3773">
          <w:marLeft w:val="0"/>
          <w:marRight w:val="0"/>
          <w:marTop w:val="0"/>
          <w:marBottom w:val="0"/>
          <w:divBdr>
            <w:top w:val="none" w:sz="0" w:space="0" w:color="auto"/>
            <w:left w:val="none" w:sz="0" w:space="0" w:color="auto"/>
            <w:bottom w:val="none" w:sz="0" w:space="0" w:color="auto"/>
            <w:right w:val="none" w:sz="0" w:space="0" w:color="auto"/>
          </w:divBdr>
          <w:divsChild>
            <w:div w:id="2087922379">
              <w:marLeft w:val="0"/>
              <w:marRight w:val="0"/>
              <w:marTop w:val="0"/>
              <w:marBottom w:val="0"/>
              <w:divBdr>
                <w:top w:val="none" w:sz="0" w:space="0" w:color="auto"/>
                <w:left w:val="none" w:sz="0" w:space="0" w:color="auto"/>
                <w:bottom w:val="none" w:sz="0" w:space="0" w:color="auto"/>
                <w:right w:val="none" w:sz="0" w:space="0" w:color="auto"/>
              </w:divBdr>
              <w:divsChild>
                <w:div w:id="1747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7967">
      <w:bodyDiv w:val="1"/>
      <w:marLeft w:val="0"/>
      <w:marRight w:val="0"/>
      <w:marTop w:val="0"/>
      <w:marBottom w:val="0"/>
      <w:divBdr>
        <w:top w:val="none" w:sz="0" w:space="0" w:color="auto"/>
        <w:left w:val="none" w:sz="0" w:space="0" w:color="auto"/>
        <w:bottom w:val="none" w:sz="0" w:space="0" w:color="auto"/>
        <w:right w:val="none" w:sz="0" w:space="0" w:color="auto"/>
      </w:divBdr>
      <w:divsChild>
        <w:div w:id="345402133">
          <w:marLeft w:val="0"/>
          <w:marRight w:val="0"/>
          <w:marTop w:val="0"/>
          <w:marBottom w:val="0"/>
          <w:divBdr>
            <w:top w:val="none" w:sz="0" w:space="0" w:color="auto"/>
            <w:left w:val="none" w:sz="0" w:space="0" w:color="auto"/>
            <w:bottom w:val="none" w:sz="0" w:space="0" w:color="auto"/>
            <w:right w:val="none" w:sz="0" w:space="0" w:color="auto"/>
          </w:divBdr>
        </w:div>
      </w:divsChild>
    </w:div>
    <w:div w:id="759182435">
      <w:bodyDiv w:val="1"/>
      <w:marLeft w:val="0"/>
      <w:marRight w:val="0"/>
      <w:marTop w:val="0"/>
      <w:marBottom w:val="0"/>
      <w:divBdr>
        <w:top w:val="none" w:sz="0" w:space="0" w:color="auto"/>
        <w:left w:val="none" w:sz="0" w:space="0" w:color="auto"/>
        <w:bottom w:val="none" w:sz="0" w:space="0" w:color="auto"/>
        <w:right w:val="none" w:sz="0" w:space="0" w:color="auto"/>
      </w:divBdr>
      <w:divsChild>
        <w:div w:id="826483138">
          <w:marLeft w:val="0"/>
          <w:marRight w:val="0"/>
          <w:marTop w:val="0"/>
          <w:marBottom w:val="0"/>
          <w:divBdr>
            <w:top w:val="none" w:sz="0" w:space="0" w:color="auto"/>
            <w:left w:val="none" w:sz="0" w:space="0" w:color="auto"/>
            <w:bottom w:val="none" w:sz="0" w:space="0" w:color="auto"/>
            <w:right w:val="none" w:sz="0" w:space="0" w:color="auto"/>
          </w:divBdr>
        </w:div>
      </w:divsChild>
    </w:div>
    <w:div w:id="800075733">
      <w:bodyDiv w:val="1"/>
      <w:marLeft w:val="0"/>
      <w:marRight w:val="0"/>
      <w:marTop w:val="0"/>
      <w:marBottom w:val="0"/>
      <w:divBdr>
        <w:top w:val="none" w:sz="0" w:space="0" w:color="auto"/>
        <w:left w:val="none" w:sz="0" w:space="0" w:color="auto"/>
        <w:bottom w:val="none" w:sz="0" w:space="0" w:color="auto"/>
        <w:right w:val="none" w:sz="0" w:space="0" w:color="auto"/>
      </w:divBdr>
      <w:divsChild>
        <w:div w:id="627930705">
          <w:marLeft w:val="0"/>
          <w:marRight w:val="0"/>
          <w:marTop w:val="0"/>
          <w:marBottom w:val="0"/>
          <w:divBdr>
            <w:top w:val="none" w:sz="0" w:space="0" w:color="auto"/>
            <w:left w:val="none" w:sz="0" w:space="0" w:color="auto"/>
            <w:bottom w:val="none" w:sz="0" w:space="0" w:color="auto"/>
            <w:right w:val="none" w:sz="0" w:space="0" w:color="auto"/>
          </w:divBdr>
          <w:divsChild>
            <w:div w:id="1465272246">
              <w:marLeft w:val="0"/>
              <w:marRight w:val="0"/>
              <w:marTop w:val="0"/>
              <w:marBottom w:val="0"/>
              <w:divBdr>
                <w:top w:val="none" w:sz="0" w:space="0" w:color="auto"/>
                <w:left w:val="none" w:sz="0" w:space="0" w:color="auto"/>
                <w:bottom w:val="none" w:sz="0" w:space="0" w:color="auto"/>
                <w:right w:val="none" w:sz="0" w:space="0" w:color="auto"/>
              </w:divBdr>
            </w:div>
          </w:divsChild>
        </w:div>
        <w:div w:id="1724985163">
          <w:marLeft w:val="0"/>
          <w:marRight w:val="0"/>
          <w:marTop w:val="0"/>
          <w:marBottom w:val="0"/>
          <w:divBdr>
            <w:top w:val="none" w:sz="0" w:space="0" w:color="auto"/>
            <w:left w:val="none" w:sz="0" w:space="0" w:color="auto"/>
            <w:bottom w:val="none" w:sz="0" w:space="0" w:color="auto"/>
            <w:right w:val="none" w:sz="0" w:space="0" w:color="auto"/>
          </w:divBdr>
          <w:divsChild>
            <w:div w:id="1797139648">
              <w:marLeft w:val="0"/>
              <w:marRight w:val="0"/>
              <w:marTop w:val="0"/>
              <w:marBottom w:val="0"/>
              <w:divBdr>
                <w:top w:val="none" w:sz="0" w:space="0" w:color="auto"/>
                <w:left w:val="none" w:sz="0" w:space="0" w:color="auto"/>
                <w:bottom w:val="none" w:sz="0" w:space="0" w:color="auto"/>
                <w:right w:val="none" w:sz="0" w:space="0" w:color="auto"/>
              </w:divBdr>
            </w:div>
          </w:divsChild>
        </w:div>
        <w:div w:id="1997755263">
          <w:marLeft w:val="0"/>
          <w:marRight w:val="0"/>
          <w:marTop w:val="240"/>
          <w:marBottom w:val="240"/>
          <w:divBdr>
            <w:top w:val="none" w:sz="0" w:space="0" w:color="auto"/>
            <w:left w:val="none" w:sz="0" w:space="0" w:color="auto"/>
            <w:bottom w:val="none" w:sz="0" w:space="0" w:color="auto"/>
            <w:right w:val="none" w:sz="0" w:space="0" w:color="auto"/>
          </w:divBdr>
        </w:div>
        <w:div w:id="2071538514">
          <w:marLeft w:val="0"/>
          <w:marRight w:val="0"/>
          <w:marTop w:val="0"/>
          <w:marBottom w:val="0"/>
          <w:divBdr>
            <w:top w:val="none" w:sz="0" w:space="0" w:color="auto"/>
            <w:left w:val="none" w:sz="0" w:space="0" w:color="auto"/>
            <w:bottom w:val="none" w:sz="0" w:space="0" w:color="auto"/>
            <w:right w:val="none" w:sz="0" w:space="0" w:color="auto"/>
          </w:divBdr>
          <w:divsChild>
            <w:div w:id="1911767718">
              <w:marLeft w:val="0"/>
              <w:marRight w:val="0"/>
              <w:marTop w:val="0"/>
              <w:marBottom w:val="0"/>
              <w:divBdr>
                <w:top w:val="none" w:sz="0" w:space="0" w:color="auto"/>
                <w:left w:val="none" w:sz="0" w:space="0" w:color="auto"/>
                <w:bottom w:val="none" w:sz="0" w:space="0" w:color="auto"/>
                <w:right w:val="none" w:sz="0" w:space="0" w:color="auto"/>
              </w:divBdr>
            </w:div>
          </w:divsChild>
        </w:div>
        <w:div w:id="2118985393">
          <w:marLeft w:val="0"/>
          <w:marRight w:val="0"/>
          <w:marTop w:val="240"/>
          <w:marBottom w:val="240"/>
          <w:divBdr>
            <w:top w:val="none" w:sz="0" w:space="0" w:color="auto"/>
            <w:left w:val="none" w:sz="0" w:space="0" w:color="auto"/>
            <w:bottom w:val="none" w:sz="0" w:space="0" w:color="auto"/>
            <w:right w:val="none" w:sz="0" w:space="0" w:color="auto"/>
          </w:divBdr>
        </w:div>
      </w:divsChild>
    </w:div>
    <w:div w:id="865600040">
      <w:bodyDiv w:val="1"/>
      <w:marLeft w:val="0"/>
      <w:marRight w:val="0"/>
      <w:marTop w:val="0"/>
      <w:marBottom w:val="0"/>
      <w:divBdr>
        <w:top w:val="none" w:sz="0" w:space="0" w:color="auto"/>
        <w:left w:val="none" w:sz="0" w:space="0" w:color="auto"/>
        <w:bottom w:val="none" w:sz="0" w:space="0" w:color="auto"/>
        <w:right w:val="none" w:sz="0" w:space="0" w:color="auto"/>
      </w:divBdr>
      <w:divsChild>
        <w:div w:id="349453351">
          <w:marLeft w:val="0"/>
          <w:marRight w:val="0"/>
          <w:marTop w:val="0"/>
          <w:marBottom w:val="0"/>
          <w:divBdr>
            <w:top w:val="none" w:sz="0" w:space="0" w:color="auto"/>
            <w:left w:val="none" w:sz="0" w:space="0" w:color="auto"/>
            <w:bottom w:val="none" w:sz="0" w:space="0" w:color="auto"/>
            <w:right w:val="none" w:sz="0" w:space="0" w:color="auto"/>
          </w:divBdr>
        </w:div>
      </w:divsChild>
    </w:div>
    <w:div w:id="918636628">
      <w:bodyDiv w:val="1"/>
      <w:marLeft w:val="0"/>
      <w:marRight w:val="0"/>
      <w:marTop w:val="0"/>
      <w:marBottom w:val="0"/>
      <w:divBdr>
        <w:top w:val="none" w:sz="0" w:space="0" w:color="auto"/>
        <w:left w:val="none" w:sz="0" w:space="0" w:color="auto"/>
        <w:bottom w:val="none" w:sz="0" w:space="0" w:color="auto"/>
        <w:right w:val="none" w:sz="0" w:space="0" w:color="auto"/>
      </w:divBdr>
      <w:divsChild>
        <w:div w:id="1569464464">
          <w:marLeft w:val="0"/>
          <w:marRight w:val="0"/>
          <w:marTop w:val="0"/>
          <w:marBottom w:val="0"/>
          <w:divBdr>
            <w:top w:val="none" w:sz="0" w:space="0" w:color="auto"/>
            <w:left w:val="none" w:sz="0" w:space="0" w:color="auto"/>
            <w:bottom w:val="none" w:sz="0" w:space="0" w:color="auto"/>
            <w:right w:val="none" w:sz="0" w:space="0" w:color="auto"/>
          </w:divBdr>
        </w:div>
      </w:divsChild>
    </w:div>
    <w:div w:id="931743761">
      <w:bodyDiv w:val="1"/>
      <w:marLeft w:val="0"/>
      <w:marRight w:val="0"/>
      <w:marTop w:val="0"/>
      <w:marBottom w:val="0"/>
      <w:divBdr>
        <w:top w:val="none" w:sz="0" w:space="0" w:color="auto"/>
        <w:left w:val="none" w:sz="0" w:space="0" w:color="auto"/>
        <w:bottom w:val="none" w:sz="0" w:space="0" w:color="auto"/>
        <w:right w:val="none" w:sz="0" w:space="0" w:color="auto"/>
      </w:divBdr>
      <w:divsChild>
        <w:div w:id="1306547434">
          <w:marLeft w:val="0"/>
          <w:marRight w:val="0"/>
          <w:marTop w:val="0"/>
          <w:marBottom w:val="0"/>
          <w:divBdr>
            <w:top w:val="none" w:sz="0" w:space="0" w:color="auto"/>
            <w:left w:val="none" w:sz="0" w:space="0" w:color="auto"/>
            <w:bottom w:val="none" w:sz="0" w:space="0" w:color="auto"/>
            <w:right w:val="none" w:sz="0" w:space="0" w:color="auto"/>
          </w:divBdr>
        </w:div>
      </w:divsChild>
    </w:div>
    <w:div w:id="935747997">
      <w:bodyDiv w:val="1"/>
      <w:marLeft w:val="0"/>
      <w:marRight w:val="0"/>
      <w:marTop w:val="0"/>
      <w:marBottom w:val="0"/>
      <w:divBdr>
        <w:top w:val="none" w:sz="0" w:space="0" w:color="auto"/>
        <w:left w:val="none" w:sz="0" w:space="0" w:color="auto"/>
        <w:bottom w:val="none" w:sz="0" w:space="0" w:color="auto"/>
        <w:right w:val="none" w:sz="0" w:space="0" w:color="auto"/>
      </w:divBdr>
    </w:div>
    <w:div w:id="976837017">
      <w:bodyDiv w:val="1"/>
      <w:marLeft w:val="0"/>
      <w:marRight w:val="0"/>
      <w:marTop w:val="0"/>
      <w:marBottom w:val="0"/>
      <w:divBdr>
        <w:top w:val="none" w:sz="0" w:space="0" w:color="auto"/>
        <w:left w:val="none" w:sz="0" w:space="0" w:color="auto"/>
        <w:bottom w:val="none" w:sz="0" w:space="0" w:color="auto"/>
        <w:right w:val="none" w:sz="0" w:space="0" w:color="auto"/>
      </w:divBdr>
      <w:divsChild>
        <w:div w:id="102725278">
          <w:marLeft w:val="0"/>
          <w:marRight w:val="0"/>
          <w:marTop w:val="0"/>
          <w:marBottom w:val="0"/>
          <w:divBdr>
            <w:top w:val="none" w:sz="0" w:space="0" w:color="auto"/>
            <w:left w:val="none" w:sz="0" w:space="0" w:color="auto"/>
            <w:bottom w:val="none" w:sz="0" w:space="0" w:color="auto"/>
            <w:right w:val="none" w:sz="0" w:space="0" w:color="auto"/>
          </w:divBdr>
        </w:div>
      </w:divsChild>
    </w:div>
    <w:div w:id="982586663">
      <w:bodyDiv w:val="1"/>
      <w:marLeft w:val="0"/>
      <w:marRight w:val="0"/>
      <w:marTop w:val="0"/>
      <w:marBottom w:val="0"/>
      <w:divBdr>
        <w:top w:val="none" w:sz="0" w:space="0" w:color="auto"/>
        <w:left w:val="none" w:sz="0" w:space="0" w:color="auto"/>
        <w:bottom w:val="none" w:sz="0" w:space="0" w:color="auto"/>
        <w:right w:val="none" w:sz="0" w:space="0" w:color="auto"/>
      </w:divBdr>
      <w:divsChild>
        <w:div w:id="581334279">
          <w:marLeft w:val="0"/>
          <w:marRight w:val="0"/>
          <w:marTop w:val="0"/>
          <w:marBottom w:val="0"/>
          <w:divBdr>
            <w:top w:val="none" w:sz="0" w:space="0" w:color="auto"/>
            <w:left w:val="none" w:sz="0" w:space="0" w:color="auto"/>
            <w:bottom w:val="none" w:sz="0" w:space="0" w:color="auto"/>
            <w:right w:val="none" w:sz="0" w:space="0" w:color="auto"/>
          </w:divBdr>
        </w:div>
      </w:divsChild>
    </w:div>
    <w:div w:id="997610400">
      <w:bodyDiv w:val="1"/>
      <w:marLeft w:val="0"/>
      <w:marRight w:val="0"/>
      <w:marTop w:val="0"/>
      <w:marBottom w:val="0"/>
      <w:divBdr>
        <w:top w:val="none" w:sz="0" w:space="0" w:color="auto"/>
        <w:left w:val="none" w:sz="0" w:space="0" w:color="auto"/>
        <w:bottom w:val="none" w:sz="0" w:space="0" w:color="auto"/>
        <w:right w:val="none" w:sz="0" w:space="0" w:color="auto"/>
      </w:divBdr>
      <w:divsChild>
        <w:div w:id="536548855">
          <w:marLeft w:val="0"/>
          <w:marRight w:val="0"/>
          <w:marTop w:val="0"/>
          <w:marBottom w:val="0"/>
          <w:divBdr>
            <w:top w:val="none" w:sz="0" w:space="0" w:color="auto"/>
            <w:left w:val="none" w:sz="0" w:space="0" w:color="auto"/>
            <w:bottom w:val="none" w:sz="0" w:space="0" w:color="auto"/>
            <w:right w:val="none" w:sz="0" w:space="0" w:color="auto"/>
          </w:divBdr>
        </w:div>
      </w:divsChild>
    </w:div>
    <w:div w:id="1032923471">
      <w:bodyDiv w:val="1"/>
      <w:marLeft w:val="0"/>
      <w:marRight w:val="0"/>
      <w:marTop w:val="0"/>
      <w:marBottom w:val="0"/>
      <w:divBdr>
        <w:top w:val="none" w:sz="0" w:space="0" w:color="auto"/>
        <w:left w:val="none" w:sz="0" w:space="0" w:color="auto"/>
        <w:bottom w:val="none" w:sz="0" w:space="0" w:color="auto"/>
        <w:right w:val="none" w:sz="0" w:space="0" w:color="auto"/>
      </w:divBdr>
      <w:divsChild>
        <w:div w:id="1269238145">
          <w:marLeft w:val="0"/>
          <w:marRight w:val="0"/>
          <w:marTop w:val="0"/>
          <w:marBottom w:val="0"/>
          <w:divBdr>
            <w:top w:val="none" w:sz="0" w:space="0" w:color="auto"/>
            <w:left w:val="none" w:sz="0" w:space="0" w:color="auto"/>
            <w:bottom w:val="none" w:sz="0" w:space="0" w:color="auto"/>
            <w:right w:val="none" w:sz="0" w:space="0" w:color="auto"/>
          </w:divBdr>
          <w:divsChild>
            <w:div w:id="1154420373">
              <w:marLeft w:val="0"/>
              <w:marRight w:val="0"/>
              <w:marTop w:val="0"/>
              <w:marBottom w:val="0"/>
              <w:divBdr>
                <w:top w:val="none" w:sz="0" w:space="0" w:color="auto"/>
                <w:left w:val="none" w:sz="0" w:space="0" w:color="auto"/>
                <w:bottom w:val="none" w:sz="0" w:space="0" w:color="auto"/>
                <w:right w:val="none" w:sz="0" w:space="0" w:color="auto"/>
              </w:divBdr>
              <w:divsChild>
                <w:div w:id="1296520493">
                  <w:marLeft w:val="0"/>
                  <w:marRight w:val="0"/>
                  <w:marTop w:val="0"/>
                  <w:marBottom w:val="0"/>
                  <w:divBdr>
                    <w:top w:val="none" w:sz="0" w:space="0" w:color="auto"/>
                    <w:left w:val="none" w:sz="0" w:space="0" w:color="auto"/>
                    <w:bottom w:val="none" w:sz="0" w:space="0" w:color="auto"/>
                    <w:right w:val="none" w:sz="0" w:space="0" w:color="auto"/>
                  </w:divBdr>
                </w:div>
              </w:divsChild>
            </w:div>
            <w:div w:id="1334146041">
              <w:marLeft w:val="0"/>
              <w:marRight w:val="0"/>
              <w:marTop w:val="0"/>
              <w:marBottom w:val="0"/>
              <w:divBdr>
                <w:top w:val="none" w:sz="0" w:space="0" w:color="auto"/>
                <w:left w:val="none" w:sz="0" w:space="0" w:color="auto"/>
                <w:bottom w:val="none" w:sz="0" w:space="0" w:color="auto"/>
                <w:right w:val="none" w:sz="0" w:space="0" w:color="auto"/>
              </w:divBdr>
              <w:divsChild>
                <w:div w:id="17265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6917">
          <w:marLeft w:val="0"/>
          <w:marRight w:val="0"/>
          <w:marTop w:val="0"/>
          <w:marBottom w:val="0"/>
          <w:divBdr>
            <w:top w:val="none" w:sz="0" w:space="0" w:color="auto"/>
            <w:left w:val="none" w:sz="0" w:space="0" w:color="auto"/>
            <w:bottom w:val="none" w:sz="0" w:space="0" w:color="auto"/>
            <w:right w:val="none" w:sz="0" w:space="0" w:color="auto"/>
          </w:divBdr>
          <w:divsChild>
            <w:div w:id="1590890315">
              <w:marLeft w:val="0"/>
              <w:marRight w:val="0"/>
              <w:marTop w:val="0"/>
              <w:marBottom w:val="0"/>
              <w:divBdr>
                <w:top w:val="none" w:sz="0" w:space="0" w:color="auto"/>
                <w:left w:val="none" w:sz="0" w:space="0" w:color="auto"/>
                <w:bottom w:val="none" w:sz="0" w:space="0" w:color="auto"/>
                <w:right w:val="none" w:sz="0" w:space="0" w:color="auto"/>
              </w:divBdr>
              <w:divsChild>
                <w:div w:id="7567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849">
      <w:bodyDiv w:val="1"/>
      <w:marLeft w:val="0"/>
      <w:marRight w:val="0"/>
      <w:marTop w:val="0"/>
      <w:marBottom w:val="0"/>
      <w:divBdr>
        <w:top w:val="none" w:sz="0" w:space="0" w:color="auto"/>
        <w:left w:val="none" w:sz="0" w:space="0" w:color="auto"/>
        <w:bottom w:val="none" w:sz="0" w:space="0" w:color="auto"/>
        <w:right w:val="none" w:sz="0" w:space="0" w:color="auto"/>
      </w:divBdr>
      <w:divsChild>
        <w:div w:id="2111779371">
          <w:marLeft w:val="0"/>
          <w:marRight w:val="0"/>
          <w:marTop w:val="0"/>
          <w:marBottom w:val="0"/>
          <w:divBdr>
            <w:top w:val="none" w:sz="0" w:space="0" w:color="auto"/>
            <w:left w:val="none" w:sz="0" w:space="0" w:color="auto"/>
            <w:bottom w:val="none" w:sz="0" w:space="0" w:color="auto"/>
            <w:right w:val="none" w:sz="0" w:space="0" w:color="auto"/>
          </w:divBdr>
        </w:div>
      </w:divsChild>
    </w:div>
    <w:div w:id="1098217831">
      <w:bodyDiv w:val="1"/>
      <w:marLeft w:val="0"/>
      <w:marRight w:val="0"/>
      <w:marTop w:val="0"/>
      <w:marBottom w:val="0"/>
      <w:divBdr>
        <w:top w:val="none" w:sz="0" w:space="0" w:color="auto"/>
        <w:left w:val="none" w:sz="0" w:space="0" w:color="auto"/>
        <w:bottom w:val="none" w:sz="0" w:space="0" w:color="auto"/>
        <w:right w:val="none" w:sz="0" w:space="0" w:color="auto"/>
      </w:divBdr>
    </w:div>
    <w:div w:id="1187478144">
      <w:bodyDiv w:val="1"/>
      <w:marLeft w:val="0"/>
      <w:marRight w:val="0"/>
      <w:marTop w:val="0"/>
      <w:marBottom w:val="0"/>
      <w:divBdr>
        <w:top w:val="none" w:sz="0" w:space="0" w:color="auto"/>
        <w:left w:val="none" w:sz="0" w:space="0" w:color="auto"/>
        <w:bottom w:val="none" w:sz="0" w:space="0" w:color="auto"/>
        <w:right w:val="none" w:sz="0" w:space="0" w:color="auto"/>
      </w:divBdr>
    </w:div>
    <w:div w:id="1191990938">
      <w:bodyDiv w:val="1"/>
      <w:marLeft w:val="0"/>
      <w:marRight w:val="0"/>
      <w:marTop w:val="0"/>
      <w:marBottom w:val="0"/>
      <w:divBdr>
        <w:top w:val="none" w:sz="0" w:space="0" w:color="auto"/>
        <w:left w:val="none" w:sz="0" w:space="0" w:color="auto"/>
        <w:bottom w:val="none" w:sz="0" w:space="0" w:color="auto"/>
        <w:right w:val="none" w:sz="0" w:space="0" w:color="auto"/>
      </w:divBdr>
      <w:divsChild>
        <w:div w:id="301665629">
          <w:marLeft w:val="0"/>
          <w:marRight w:val="0"/>
          <w:marTop w:val="0"/>
          <w:marBottom w:val="0"/>
          <w:divBdr>
            <w:top w:val="none" w:sz="0" w:space="0" w:color="auto"/>
            <w:left w:val="none" w:sz="0" w:space="0" w:color="auto"/>
            <w:bottom w:val="none" w:sz="0" w:space="0" w:color="auto"/>
            <w:right w:val="none" w:sz="0" w:space="0" w:color="auto"/>
          </w:divBdr>
          <w:divsChild>
            <w:div w:id="19765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4684">
      <w:bodyDiv w:val="1"/>
      <w:marLeft w:val="0"/>
      <w:marRight w:val="0"/>
      <w:marTop w:val="0"/>
      <w:marBottom w:val="0"/>
      <w:divBdr>
        <w:top w:val="none" w:sz="0" w:space="0" w:color="auto"/>
        <w:left w:val="none" w:sz="0" w:space="0" w:color="auto"/>
        <w:bottom w:val="none" w:sz="0" w:space="0" w:color="auto"/>
        <w:right w:val="none" w:sz="0" w:space="0" w:color="auto"/>
      </w:divBdr>
      <w:divsChild>
        <w:div w:id="1410810116">
          <w:marLeft w:val="0"/>
          <w:marRight w:val="0"/>
          <w:marTop w:val="0"/>
          <w:marBottom w:val="0"/>
          <w:divBdr>
            <w:top w:val="none" w:sz="0" w:space="0" w:color="auto"/>
            <w:left w:val="none" w:sz="0" w:space="0" w:color="auto"/>
            <w:bottom w:val="none" w:sz="0" w:space="0" w:color="auto"/>
            <w:right w:val="none" w:sz="0" w:space="0" w:color="auto"/>
          </w:divBdr>
        </w:div>
      </w:divsChild>
    </w:div>
    <w:div w:id="1231766434">
      <w:bodyDiv w:val="1"/>
      <w:marLeft w:val="0"/>
      <w:marRight w:val="0"/>
      <w:marTop w:val="0"/>
      <w:marBottom w:val="0"/>
      <w:divBdr>
        <w:top w:val="none" w:sz="0" w:space="0" w:color="auto"/>
        <w:left w:val="none" w:sz="0" w:space="0" w:color="auto"/>
        <w:bottom w:val="none" w:sz="0" w:space="0" w:color="auto"/>
        <w:right w:val="none" w:sz="0" w:space="0" w:color="auto"/>
      </w:divBdr>
      <w:divsChild>
        <w:div w:id="161749553">
          <w:marLeft w:val="0"/>
          <w:marRight w:val="0"/>
          <w:marTop w:val="0"/>
          <w:marBottom w:val="0"/>
          <w:divBdr>
            <w:top w:val="none" w:sz="0" w:space="0" w:color="auto"/>
            <w:left w:val="none" w:sz="0" w:space="0" w:color="auto"/>
            <w:bottom w:val="none" w:sz="0" w:space="0" w:color="auto"/>
            <w:right w:val="none" w:sz="0" w:space="0" w:color="auto"/>
          </w:divBdr>
        </w:div>
      </w:divsChild>
    </w:div>
    <w:div w:id="1239824929">
      <w:bodyDiv w:val="1"/>
      <w:marLeft w:val="0"/>
      <w:marRight w:val="0"/>
      <w:marTop w:val="0"/>
      <w:marBottom w:val="0"/>
      <w:divBdr>
        <w:top w:val="none" w:sz="0" w:space="0" w:color="auto"/>
        <w:left w:val="none" w:sz="0" w:space="0" w:color="auto"/>
        <w:bottom w:val="none" w:sz="0" w:space="0" w:color="auto"/>
        <w:right w:val="none" w:sz="0" w:space="0" w:color="auto"/>
      </w:divBdr>
      <w:divsChild>
        <w:div w:id="1260867098">
          <w:marLeft w:val="0"/>
          <w:marRight w:val="0"/>
          <w:marTop w:val="0"/>
          <w:marBottom w:val="0"/>
          <w:divBdr>
            <w:top w:val="none" w:sz="0" w:space="0" w:color="auto"/>
            <w:left w:val="none" w:sz="0" w:space="0" w:color="auto"/>
            <w:bottom w:val="none" w:sz="0" w:space="0" w:color="auto"/>
            <w:right w:val="none" w:sz="0" w:space="0" w:color="auto"/>
          </w:divBdr>
        </w:div>
      </w:divsChild>
    </w:div>
    <w:div w:id="1290669859">
      <w:bodyDiv w:val="1"/>
      <w:marLeft w:val="0"/>
      <w:marRight w:val="0"/>
      <w:marTop w:val="0"/>
      <w:marBottom w:val="0"/>
      <w:divBdr>
        <w:top w:val="none" w:sz="0" w:space="0" w:color="auto"/>
        <w:left w:val="none" w:sz="0" w:space="0" w:color="auto"/>
        <w:bottom w:val="none" w:sz="0" w:space="0" w:color="auto"/>
        <w:right w:val="none" w:sz="0" w:space="0" w:color="auto"/>
      </w:divBdr>
      <w:divsChild>
        <w:div w:id="933247255">
          <w:marLeft w:val="0"/>
          <w:marRight w:val="0"/>
          <w:marTop w:val="0"/>
          <w:marBottom w:val="0"/>
          <w:divBdr>
            <w:top w:val="none" w:sz="0" w:space="0" w:color="auto"/>
            <w:left w:val="none" w:sz="0" w:space="0" w:color="auto"/>
            <w:bottom w:val="none" w:sz="0" w:space="0" w:color="auto"/>
            <w:right w:val="none" w:sz="0" w:space="0" w:color="auto"/>
          </w:divBdr>
          <w:divsChild>
            <w:div w:id="19591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4302">
      <w:bodyDiv w:val="1"/>
      <w:marLeft w:val="0"/>
      <w:marRight w:val="0"/>
      <w:marTop w:val="0"/>
      <w:marBottom w:val="0"/>
      <w:divBdr>
        <w:top w:val="none" w:sz="0" w:space="0" w:color="auto"/>
        <w:left w:val="none" w:sz="0" w:space="0" w:color="auto"/>
        <w:bottom w:val="none" w:sz="0" w:space="0" w:color="auto"/>
        <w:right w:val="none" w:sz="0" w:space="0" w:color="auto"/>
      </w:divBdr>
      <w:divsChild>
        <w:div w:id="2106537923">
          <w:marLeft w:val="0"/>
          <w:marRight w:val="0"/>
          <w:marTop w:val="0"/>
          <w:marBottom w:val="0"/>
          <w:divBdr>
            <w:top w:val="none" w:sz="0" w:space="0" w:color="auto"/>
            <w:left w:val="none" w:sz="0" w:space="0" w:color="auto"/>
            <w:bottom w:val="none" w:sz="0" w:space="0" w:color="auto"/>
            <w:right w:val="none" w:sz="0" w:space="0" w:color="auto"/>
          </w:divBdr>
        </w:div>
      </w:divsChild>
    </w:div>
    <w:div w:id="1358628220">
      <w:bodyDiv w:val="1"/>
      <w:marLeft w:val="0"/>
      <w:marRight w:val="0"/>
      <w:marTop w:val="0"/>
      <w:marBottom w:val="0"/>
      <w:divBdr>
        <w:top w:val="none" w:sz="0" w:space="0" w:color="auto"/>
        <w:left w:val="none" w:sz="0" w:space="0" w:color="auto"/>
        <w:bottom w:val="none" w:sz="0" w:space="0" w:color="auto"/>
        <w:right w:val="none" w:sz="0" w:space="0" w:color="auto"/>
      </w:divBdr>
      <w:divsChild>
        <w:div w:id="1364674170">
          <w:marLeft w:val="0"/>
          <w:marRight w:val="0"/>
          <w:marTop w:val="0"/>
          <w:marBottom w:val="0"/>
          <w:divBdr>
            <w:top w:val="none" w:sz="0" w:space="0" w:color="auto"/>
            <w:left w:val="none" w:sz="0" w:space="0" w:color="auto"/>
            <w:bottom w:val="none" w:sz="0" w:space="0" w:color="auto"/>
            <w:right w:val="none" w:sz="0" w:space="0" w:color="auto"/>
          </w:divBdr>
          <w:divsChild>
            <w:div w:id="16071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139">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1">
          <w:marLeft w:val="0"/>
          <w:marRight w:val="0"/>
          <w:marTop w:val="0"/>
          <w:marBottom w:val="0"/>
          <w:divBdr>
            <w:top w:val="none" w:sz="0" w:space="0" w:color="auto"/>
            <w:left w:val="none" w:sz="0" w:space="0" w:color="auto"/>
            <w:bottom w:val="none" w:sz="0" w:space="0" w:color="auto"/>
            <w:right w:val="none" w:sz="0" w:space="0" w:color="auto"/>
          </w:divBdr>
        </w:div>
      </w:divsChild>
    </w:div>
    <w:div w:id="1386949988">
      <w:bodyDiv w:val="1"/>
      <w:marLeft w:val="0"/>
      <w:marRight w:val="0"/>
      <w:marTop w:val="0"/>
      <w:marBottom w:val="0"/>
      <w:divBdr>
        <w:top w:val="none" w:sz="0" w:space="0" w:color="auto"/>
        <w:left w:val="none" w:sz="0" w:space="0" w:color="auto"/>
        <w:bottom w:val="none" w:sz="0" w:space="0" w:color="auto"/>
        <w:right w:val="none" w:sz="0" w:space="0" w:color="auto"/>
      </w:divBdr>
      <w:divsChild>
        <w:div w:id="1116218873">
          <w:marLeft w:val="0"/>
          <w:marRight w:val="0"/>
          <w:marTop w:val="0"/>
          <w:marBottom w:val="0"/>
          <w:divBdr>
            <w:top w:val="none" w:sz="0" w:space="0" w:color="auto"/>
            <w:left w:val="none" w:sz="0" w:space="0" w:color="auto"/>
            <w:bottom w:val="none" w:sz="0" w:space="0" w:color="auto"/>
            <w:right w:val="none" w:sz="0" w:space="0" w:color="auto"/>
          </w:divBdr>
        </w:div>
      </w:divsChild>
    </w:div>
    <w:div w:id="1387070915">
      <w:bodyDiv w:val="1"/>
      <w:marLeft w:val="0"/>
      <w:marRight w:val="0"/>
      <w:marTop w:val="0"/>
      <w:marBottom w:val="0"/>
      <w:divBdr>
        <w:top w:val="none" w:sz="0" w:space="0" w:color="auto"/>
        <w:left w:val="none" w:sz="0" w:space="0" w:color="auto"/>
        <w:bottom w:val="none" w:sz="0" w:space="0" w:color="auto"/>
        <w:right w:val="none" w:sz="0" w:space="0" w:color="auto"/>
      </w:divBdr>
      <w:divsChild>
        <w:div w:id="1738627157">
          <w:marLeft w:val="0"/>
          <w:marRight w:val="0"/>
          <w:marTop w:val="0"/>
          <w:marBottom w:val="0"/>
          <w:divBdr>
            <w:top w:val="none" w:sz="0" w:space="0" w:color="auto"/>
            <w:left w:val="none" w:sz="0" w:space="0" w:color="auto"/>
            <w:bottom w:val="none" w:sz="0" w:space="0" w:color="auto"/>
            <w:right w:val="none" w:sz="0" w:space="0" w:color="auto"/>
          </w:divBdr>
        </w:div>
      </w:divsChild>
    </w:div>
    <w:div w:id="1481388765">
      <w:bodyDiv w:val="1"/>
      <w:marLeft w:val="0"/>
      <w:marRight w:val="0"/>
      <w:marTop w:val="0"/>
      <w:marBottom w:val="0"/>
      <w:divBdr>
        <w:top w:val="none" w:sz="0" w:space="0" w:color="auto"/>
        <w:left w:val="none" w:sz="0" w:space="0" w:color="auto"/>
        <w:bottom w:val="none" w:sz="0" w:space="0" w:color="auto"/>
        <w:right w:val="none" w:sz="0" w:space="0" w:color="auto"/>
      </w:divBdr>
      <w:divsChild>
        <w:div w:id="1070809021">
          <w:marLeft w:val="0"/>
          <w:marRight w:val="0"/>
          <w:marTop w:val="0"/>
          <w:marBottom w:val="0"/>
          <w:divBdr>
            <w:top w:val="none" w:sz="0" w:space="0" w:color="auto"/>
            <w:left w:val="none" w:sz="0" w:space="0" w:color="auto"/>
            <w:bottom w:val="none" w:sz="0" w:space="0" w:color="auto"/>
            <w:right w:val="none" w:sz="0" w:space="0" w:color="auto"/>
          </w:divBdr>
          <w:divsChild>
            <w:div w:id="177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97842">
      <w:bodyDiv w:val="1"/>
      <w:marLeft w:val="0"/>
      <w:marRight w:val="0"/>
      <w:marTop w:val="0"/>
      <w:marBottom w:val="0"/>
      <w:divBdr>
        <w:top w:val="none" w:sz="0" w:space="0" w:color="auto"/>
        <w:left w:val="none" w:sz="0" w:space="0" w:color="auto"/>
        <w:bottom w:val="none" w:sz="0" w:space="0" w:color="auto"/>
        <w:right w:val="none" w:sz="0" w:space="0" w:color="auto"/>
      </w:divBdr>
    </w:div>
    <w:div w:id="1572691331">
      <w:bodyDiv w:val="1"/>
      <w:marLeft w:val="0"/>
      <w:marRight w:val="0"/>
      <w:marTop w:val="0"/>
      <w:marBottom w:val="0"/>
      <w:divBdr>
        <w:top w:val="none" w:sz="0" w:space="0" w:color="auto"/>
        <w:left w:val="none" w:sz="0" w:space="0" w:color="auto"/>
        <w:bottom w:val="none" w:sz="0" w:space="0" w:color="auto"/>
        <w:right w:val="none" w:sz="0" w:space="0" w:color="auto"/>
      </w:divBdr>
      <w:divsChild>
        <w:div w:id="20011223">
          <w:marLeft w:val="0"/>
          <w:marRight w:val="0"/>
          <w:marTop w:val="0"/>
          <w:marBottom w:val="0"/>
          <w:divBdr>
            <w:top w:val="none" w:sz="0" w:space="0" w:color="auto"/>
            <w:left w:val="none" w:sz="0" w:space="0" w:color="auto"/>
            <w:bottom w:val="none" w:sz="0" w:space="0" w:color="auto"/>
            <w:right w:val="none" w:sz="0" w:space="0" w:color="auto"/>
          </w:divBdr>
        </w:div>
      </w:divsChild>
    </w:div>
    <w:div w:id="1621644136">
      <w:bodyDiv w:val="1"/>
      <w:marLeft w:val="0"/>
      <w:marRight w:val="0"/>
      <w:marTop w:val="0"/>
      <w:marBottom w:val="0"/>
      <w:divBdr>
        <w:top w:val="none" w:sz="0" w:space="0" w:color="auto"/>
        <w:left w:val="none" w:sz="0" w:space="0" w:color="auto"/>
        <w:bottom w:val="none" w:sz="0" w:space="0" w:color="auto"/>
        <w:right w:val="none" w:sz="0" w:space="0" w:color="auto"/>
      </w:divBdr>
      <w:divsChild>
        <w:div w:id="472604898">
          <w:marLeft w:val="0"/>
          <w:marRight w:val="0"/>
          <w:marTop w:val="0"/>
          <w:marBottom w:val="0"/>
          <w:divBdr>
            <w:top w:val="none" w:sz="0" w:space="0" w:color="auto"/>
            <w:left w:val="none" w:sz="0" w:space="0" w:color="auto"/>
            <w:bottom w:val="none" w:sz="0" w:space="0" w:color="auto"/>
            <w:right w:val="none" w:sz="0" w:space="0" w:color="auto"/>
          </w:divBdr>
        </w:div>
      </w:divsChild>
    </w:div>
    <w:div w:id="1625116534">
      <w:bodyDiv w:val="1"/>
      <w:marLeft w:val="0"/>
      <w:marRight w:val="0"/>
      <w:marTop w:val="0"/>
      <w:marBottom w:val="0"/>
      <w:divBdr>
        <w:top w:val="none" w:sz="0" w:space="0" w:color="auto"/>
        <w:left w:val="none" w:sz="0" w:space="0" w:color="auto"/>
        <w:bottom w:val="none" w:sz="0" w:space="0" w:color="auto"/>
        <w:right w:val="none" w:sz="0" w:space="0" w:color="auto"/>
      </w:divBdr>
    </w:div>
    <w:div w:id="1645964947">
      <w:bodyDiv w:val="1"/>
      <w:marLeft w:val="0"/>
      <w:marRight w:val="0"/>
      <w:marTop w:val="0"/>
      <w:marBottom w:val="0"/>
      <w:divBdr>
        <w:top w:val="none" w:sz="0" w:space="0" w:color="auto"/>
        <w:left w:val="none" w:sz="0" w:space="0" w:color="auto"/>
        <w:bottom w:val="none" w:sz="0" w:space="0" w:color="auto"/>
        <w:right w:val="none" w:sz="0" w:space="0" w:color="auto"/>
      </w:divBdr>
      <w:divsChild>
        <w:div w:id="948272433">
          <w:marLeft w:val="0"/>
          <w:marRight w:val="0"/>
          <w:marTop w:val="0"/>
          <w:marBottom w:val="0"/>
          <w:divBdr>
            <w:top w:val="none" w:sz="0" w:space="0" w:color="auto"/>
            <w:left w:val="none" w:sz="0" w:space="0" w:color="auto"/>
            <w:bottom w:val="none" w:sz="0" w:space="0" w:color="auto"/>
            <w:right w:val="none" w:sz="0" w:space="0" w:color="auto"/>
          </w:divBdr>
          <w:divsChild>
            <w:div w:id="20126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817">
      <w:bodyDiv w:val="1"/>
      <w:marLeft w:val="0"/>
      <w:marRight w:val="0"/>
      <w:marTop w:val="0"/>
      <w:marBottom w:val="0"/>
      <w:divBdr>
        <w:top w:val="none" w:sz="0" w:space="0" w:color="auto"/>
        <w:left w:val="none" w:sz="0" w:space="0" w:color="auto"/>
        <w:bottom w:val="none" w:sz="0" w:space="0" w:color="auto"/>
        <w:right w:val="none" w:sz="0" w:space="0" w:color="auto"/>
      </w:divBdr>
      <w:divsChild>
        <w:div w:id="917862935">
          <w:marLeft w:val="0"/>
          <w:marRight w:val="0"/>
          <w:marTop w:val="0"/>
          <w:marBottom w:val="0"/>
          <w:divBdr>
            <w:top w:val="none" w:sz="0" w:space="0" w:color="auto"/>
            <w:left w:val="none" w:sz="0" w:space="0" w:color="auto"/>
            <w:bottom w:val="none" w:sz="0" w:space="0" w:color="auto"/>
            <w:right w:val="none" w:sz="0" w:space="0" w:color="auto"/>
          </w:divBdr>
          <w:divsChild>
            <w:div w:id="9517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4576">
      <w:bodyDiv w:val="1"/>
      <w:marLeft w:val="0"/>
      <w:marRight w:val="0"/>
      <w:marTop w:val="0"/>
      <w:marBottom w:val="0"/>
      <w:divBdr>
        <w:top w:val="none" w:sz="0" w:space="0" w:color="auto"/>
        <w:left w:val="none" w:sz="0" w:space="0" w:color="auto"/>
        <w:bottom w:val="none" w:sz="0" w:space="0" w:color="auto"/>
        <w:right w:val="none" w:sz="0" w:space="0" w:color="auto"/>
      </w:divBdr>
      <w:divsChild>
        <w:div w:id="792751571">
          <w:marLeft w:val="0"/>
          <w:marRight w:val="0"/>
          <w:marTop w:val="0"/>
          <w:marBottom w:val="0"/>
          <w:divBdr>
            <w:top w:val="none" w:sz="0" w:space="0" w:color="auto"/>
            <w:left w:val="none" w:sz="0" w:space="0" w:color="auto"/>
            <w:bottom w:val="none" w:sz="0" w:space="0" w:color="auto"/>
            <w:right w:val="none" w:sz="0" w:space="0" w:color="auto"/>
          </w:divBdr>
        </w:div>
      </w:divsChild>
    </w:div>
    <w:div w:id="1843929683">
      <w:bodyDiv w:val="1"/>
      <w:marLeft w:val="0"/>
      <w:marRight w:val="0"/>
      <w:marTop w:val="0"/>
      <w:marBottom w:val="0"/>
      <w:divBdr>
        <w:top w:val="none" w:sz="0" w:space="0" w:color="auto"/>
        <w:left w:val="none" w:sz="0" w:space="0" w:color="auto"/>
        <w:bottom w:val="none" w:sz="0" w:space="0" w:color="auto"/>
        <w:right w:val="none" w:sz="0" w:space="0" w:color="auto"/>
      </w:divBdr>
      <w:divsChild>
        <w:div w:id="1406875288">
          <w:marLeft w:val="0"/>
          <w:marRight w:val="0"/>
          <w:marTop w:val="0"/>
          <w:marBottom w:val="0"/>
          <w:divBdr>
            <w:top w:val="none" w:sz="0" w:space="0" w:color="auto"/>
            <w:left w:val="none" w:sz="0" w:space="0" w:color="auto"/>
            <w:bottom w:val="none" w:sz="0" w:space="0" w:color="auto"/>
            <w:right w:val="none" w:sz="0" w:space="0" w:color="auto"/>
          </w:divBdr>
        </w:div>
      </w:divsChild>
    </w:div>
    <w:div w:id="1897012427">
      <w:bodyDiv w:val="1"/>
      <w:marLeft w:val="0"/>
      <w:marRight w:val="0"/>
      <w:marTop w:val="0"/>
      <w:marBottom w:val="0"/>
      <w:divBdr>
        <w:top w:val="none" w:sz="0" w:space="0" w:color="auto"/>
        <w:left w:val="none" w:sz="0" w:space="0" w:color="auto"/>
        <w:bottom w:val="none" w:sz="0" w:space="0" w:color="auto"/>
        <w:right w:val="none" w:sz="0" w:space="0" w:color="auto"/>
      </w:divBdr>
      <w:divsChild>
        <w:div w:id="636302319">
          <w:marLeft w:val="0"/>
          <w:marRight w:val="0"/>
          <w:marTop w:val="0"/>
          <w:marBottom w:val="0"/>
          <w:divBdr>
            <w:top w:val="none" w:sz="0" w:space="0" w:color="auto"/>
            <w:left w:val="none" w:sz="0" w:space="0" w:color="auto"/>
            <w:bottom w:val="none" w:sz="0" w:space="0" w:color="auto"/>
            <w:right w:val="none" w:sz="0" w:space="0" w:color="auto"/>
          </w:divBdr>
        </w:div>
      </w:divsChild>
    </w:div>
    <w:div w:id="1936741204">
      <w:bodyDiv w:val="1"/>
      <w:marLeft w:val="0"/>
      <w:marRight w:val="0"/>
      <w:marTop w:val="0"/>
      <w:marBottom w:val="0"/>
      <w:divBdr>
        <w:top w:val="none" w:sz="0" w:space="0" w:color="auto"/>
        <w:left w:val="none" w:sz="0" w:space="0" w:color="auto"/>
        <w:bottom w:val="none" w:sz="0" w:space="0" w:color="auto"/>
        <w:right w:val="none" w:sz="0" w:space="0" w:color="auto"/>
      </w:divBdr>
      <w:divsChild>
        <w:div w:id="2054310243">
          <w:marLeft w:val="0"/>
          <w:marRight w:val="0"/>
          <w:marTop w:val="0"/>
          <w:marBottom w:val="0"/>
          <w:divBdr>
            <w:top w:val="none" w:sz="0" w:space="0" w:color="auto"/>
            <w:left w:val="none" w:sz="0" w:space="0" w:color="auto"/>
            <w:bottom w:val="none" w:sz="0" w:space="0" w:color="auto"/>
            <w:right w:val="none" w:sz="0" w:space="0" w:color="auto"/>
          </w:divBdr>
        </w:div>
      </w:divsChild>
    </w:div>
    <w:div w:id="1974213338">
      <w:bodyDiv w:val="1"/>
      <w:marLeft w:val="0"/>
      <w:marRight w:val="0"/>
      <w:marTop w:val="0"/>
      <w:marBottom w:val="0"/>
      <w:divBdr>
        <w:top w:val="none" w:sz="0" w:space="0" w:color="auto"/>
        <w:left w:val="none" w:sz="0" w:space="0" w:color="auto"/>
        <w:bottom w:val="none" w:sz="0" w:space="0" w:color="auto"/>
        <w:right w:val="none" w:sz="0" w:space="0" w:color="auto"/>
      </w:divBdr>
      <w:divsChild>
        <w:div w:id="28844631">
          <w:marLeft w:val="0"/>
          <w:marRight w:val="0"/>
          <w:marTop w:val="0"/>
          <w:marBottom w:val="0"/>
          <w:divBdr>
            <w:top w:val="none" w:sz="0" w:space="0" w:color="auto"/>
            <w:left w:val="none" w:sz="0" w:space="0" w:color="auto"/>
            <w:bottom w:val="none" w:sz="0" w:space="0" w:color="auto"/>
            <w:right w:val="none" w:sz="0" w:space="0" w:color="auto"/>
          </w:divBdr>
        </w:div>
      </w:divsChild>
    </w:div>
    <w:div w:id="2002078089">
      <w:bodyDiv w:val="1"/>
      <w:marLeft w:val="0"/>
      <w:marRight w:val="0"/>
      <w:marTop w:val="0"/>
      <w:marBottom w:val="0"/>
      <w:divBdr>
        <w:top w:val="none" w:sz="0" w:space="0" w:color="auto"/>
        <w:left w:val="none" w:sz="0" w:space="0" w:color="auto"/>
        <w:bottom w:val="none" w:sz="0" w:space="0" w:color="auto"/>
        <w:right w:val="none" w:sz="0" w:space="0" w:color="auto"/>
      </w:divBdr>
      <w:divsChild>
        <w:div w:id="1087112329">
          <w:marLeft w:val="0"/>
          <w:marRight w:val="0"/>
          <w:marTop w:val="0"/>
          <w:marBottom w:val="0"/>
          <w:divBdr>
            <w:top w:val="none" w:sz="0" w:space="0" w:color="auto"/>
            <w:left w:val="none" w:sz="0" w:space="0" w:color="auto"/>
            <w:bottom w:val="none" w:sz="0" w:space="0" w:color="auto"/>
            <w:right w:val="none" w:sz="0" w:space="0" w:color="auto"/>
          </w:divBdr>
        </w:div>
      </w:divsChild>
    </w:div>
    <w:div w:id="20050831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402">
          <w:marLeft w:val="0"/>
          <w:marRight w:val="0"/>
          <w:marTop w:val="0"/>
          <w:marBottom w:val="0"/>
          <w:divBdr>
            <w:top w:val="none" w:sz="0" w:space="0" w:color="auto"/>
            <w:left w:val="none" w:sz="0" w:space="0" w:color="auto"/>
            <w:bottom w:val="none" w:sz="0" w:space="0" w:color="auto"/>
            <w:right w:val="none" w:sz="0" w:space="0" w:color="auto"/>
          </w:divBdr>
          <w:divsChild>
            <w:div w:id="10476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5261">
      <w:bodyDiv w:val="1"/>
      <w:marLeft w:val="0"/>
      <w:marRight w:val="0"/>
      <w:marTop w:val="0"/>
      <w:marBottom w:val="0"/>
      <w:divBdr>
        <w:top w:val="none" w:sz="0" w:space="0" w:color="auto"/>
        <w:left w:val="none" w:sz="0" w:space="0" w:color="auto"/>
        <w:bottom w:val="none" w:sz="0" w:space="0" w:color="auto"/>
        <w:right w:val="none" w:sz="0" w:space="0" w:color="auto"/>
      </w:divBdr>
      <w:divsChild>
        <w:div w:id="512109454">
          <w:marLeft w:val="0"/>
          <w:marRight w:val="0"/>
          <w:marTop w:val="0"/>
          <w:marBottom w:val="0"/>
          <w:divBdr>
            <w:top w:val="none" w:sz="0" w:space="0" w:color="auto"/>
            <w:left w:val="none" w:sz="0" w:space="0" w:color="auto"/>
            <w:bottom w:val="none" w:sz="0" w:space="0" w:color="auto"/>
            <w:right w:val="none" w:sz="0" w:space="0" w:color="auto"/>
          </w:divBdr>
        </w:div>
      </w:divsChild>
    </w:div>
    <w:div w:id="2025353794">
      <w:bodyDiv w:val="1"/>
      <w:marLeft w:val="0"/>
      <w:marRight w:val="0"/>
      <w:marTop w:val="0"/>
      <w:marBottom w:val="0"/>
      <w:divBdr>
        <w:top w:val="none" w:sz="0" w:space="0" w:color="auto"/>
        <w:left w:val="none" w:sz="0" w:space="0" w:color="auto"/>
        <w:bottom w:val="none" w:sz="0" w:space="0" w:color="auto"/>
        <w:right w:val="none" w:sz="0" w:space="0" w:color="auto"/>
      </w:divBdr>
      <w:divsChild>
        <w:div w:id="161316145">
          <w:marLeft w:val="0"/>
          <w:marRight w:val="0"/>
          <w:marTop w:val="0"/>
          <w:marBottom w:val="0"/>
          <w:divBdr>
            <w:top w:val="none" w:sz="0" w:space="0" w:color="auto"/>
            <w:left w:val="none" w:sz="0" w:space="0" w:color="auto"/>
            <w:bottom w:val="none" w:sz="0" w:space="0" w:color="auto"/>
            <w:right w:val="none" w:sz="0" w:space="0" w:color="auto"/>
          </w:divBdr>
        </w:div>
      </w:divsChild>
    </w:div>
    <w:div w:id="2032535641">
      <w:bodyDiv w:val="1"/>
      <w:marLeft w:val="0"/>
      <w:marRight w:val="0"/>
      <w:marTop w:val="0"/>
      <w:marBottom w:val="0"/>
      <w:divBdr>
        <w:top w:val="none" w:sz="0" w:space="0" w:color="auto"/>
        <w:left w:val="none" w:sz="0" w:space="0" w:color="auto"/>
        <w:bottom w:val="none" w:sz="0" w:space="0" w:color="auto"/>
        <w:right w:val="none" w:sz="0" w:space="0" w:color="auto"/>
      </w:divBdr>
      <w:divsChild>
        <w:div w:id="838929145">
          <w:marLeft w:val="0"/>
          <w:marRight w:val="0"/>
          <w:marTop w:val="0"/>
          <w:marBottom w:val="0"/>
          <w:divBdr>
            <w:top w:val="none" w:sz="0" w:space="0" w:color="auto"/>
            <w:left w:val="none" w:sz="0" w:space="0" w:color="auto"/>
            <w:bottom w:val="none" w:sz="0" w:space="0" w:color="auto"/>
            <w:right w:val="none" w:sz="0" w:space="0" w:color="auto"/>
          </w:divBdr>
        </w:div>
      </w:divsChild>
    </w:div>
    <w:div w:id="2057731997">
      <w:bodyDiv w:val="1"/>
      <w:marLeft w:val="0"/>
      <w:marRight w:val="0"/>
      <w:marTop w:val="0"/>
      <w:marBottom w:val="0"/>
      <w:divBdr>
        <w:top w:val="none" w:sz="0" w:space="0" w:color="auto"/>
        <w:left w:val="none" w:sz="0" w:space="0" w:color="auto"/>
        <w:bottom w:val="none" w:sz="0" w:space="0" w:color="auto"/>
        <w:right w:val="none" w:sz="0" w:space="0" w:color="auto"/>
      </w:divBdr>
    </w:div>
    <w:div w:id="2080245917">
      <w:bodyDiv w:val="1"/>
      <w:marLeft w:val="0"/>
      <w:marRight w:val="0"/>
      <w:marTop w:val="0"/>
      <w:marBottom w:val="0"/>
      <w:divBdr>
        <w:top w:val="none" w:sz="0" w:space="0" w:color="auto"/>
        <w:left w:val="none" w:sz="0" w:space="0" w:color="auto"/>
        <w:bottom w:val="none" w:sz="0" w:space="0" w:color="auto"/>
        <w:right w:val="none" w:sz="0" w:space="0" w:color="auto"/>
      </w:divBdr>
      <w:divsChild>
        <w:div w:id="166300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gov/oral_arguments/argument_transcripts/2019/18-5924_4g25.pdf" TargetMode="External"/><Relationship Id="rId7" Type="http://schemas.openxmlformats.org/officeDocument/2006/relationships/hyperlink" Target="https://www.nola.com/news/courts/article_8e284de1-9c5c-5d77-bcc5-6e22a3053aa0.html" TargetMode="External"/><Relationship Id="rId2" Type="http://schemas.openxmlformats.org/officeDocument/2006/relationships/hyperlink" Target="https://www.supremecourt.gov/oral_arguments/argument_transcripts/2019/18-5924_4g25.pdf" TargetMode="External"/><Relationship Id="rId1" Type="http://schemas.openxmlformats.org/officeDocument/2006/relationships/hyperlink" Target="https://www.supremecourt.gov/oral_arguments/argument_transcripts/2018/17-1091_1bn2.pdf" TargetMode="External"/><Relationship Id="rId6" Type="http://schemas.openxmlformats.org/officeDocument/2006/relationships/hyperlink" Target="https://www.theadvocate.com/baton_rouge/news/article_dba87282-5f28-11e9-92b3-bfba0cf08ab2.html" TargetMode="External"/><Relationship Id="rId5" Type="http://schemas.openxmlformats.org/officeDocument/2006/relationships/hyperlink" Target="https://www.nola.com/news/crime_police/article_cae52b78-3812-57ae-8676-ea4dc3a5d3d0.html" TargetMode="External"/><Relationship Id="rId4" Type="http://schemas.openxmlformats.org/officeDocument/2006/relationships/hyperlink" Target="https://www.nola.com/news/article_88668c20-b851-5eaa-b345-14adeba06af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CE02-888B-4157-8094-9E3E3483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4419</Words>
  <Characters>23548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IN THE ORLEANS PARISH CRIMINAL DISTRICT COURT</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ORLEANS PARISH CRIMINAL DISTRICT COURT</dc:title>
  <dc:subject/>
  <dc:creator>Olivia Woollam</dc:creator>
  <cp:keywords/>
  <dc:description/>
  <cp:lastModifiedBy>Renee Slajda</cp:lastModifiedBy>
  <cp:revision>2</cp:revision>
  <cp:lastPrinted>2019-10-30T18:19:00Z</cp:lastPrinted>
  <dcterms:created xsi:type="dcterms:W3CDTF">2020-01-07T21:33:00Z</dcterms:created>
  <dcterms:modified xsi:type="dcterms:W3CDTF">2020-01-07T21:33:00Z</dcterms:modified>
</cp:coreProperties>
</file>